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1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71" w:lineRule="exact"/>
        <w:rPr>
          <w:sz w:val="24"/>
          <w:szCs w:val="24"/>
          <w:color w:val="auto"/>
        </w:rPr>
      </w:pPr>
    </w:p>
    <w:p>
      <w:pPr>
        <w:ind w:left="3880" w:right="1860" w:hanging="3800"/>
        <w:spacing w:after="0" w:line="443" w:lineRule="auto"/>
        <w:tabs>
          <w:tab w:leader="none" w:pos="38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2019</w:t>
      </w:r>
    </w:p>
    <w:p>
      <w:pPr>
        <w:spacing w:after="0" w:line="397" w:lineRule="exact"/>
        <w:rPr>
          <w:sz w:val="24"/>
          <w:szCs w:val="24"/>
          <w:color w:val="auto"/>
        </w:rPr>
      </w:pPr>
    </w:p>
    <w:p>
      <w:pPr>
        <w:ind w:left="14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o</w:t>
      </w:r>
      <w:r>
        <w:rPr>
          <w:sz w:val="20"/>
          <w:szCs w:val="20"/>
          <w:color w:val="auto"/>
        </w:rPr>
        <w:tab/>
      </w: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00" w:lineRule="exact"/>
        <w:rPr>
          <w:sz w:val="24"/>
          <w:szCs w:val="24"/>
          <w:color w:val="auto"/>
        </w:rPr>
      </w:pPr>
    </w:p>
    <w:p>
      <w:pPr>
        <w:spacing w:after="0" w:line="376" w:lineRule="exact"/>
        <w:rPr>
          <w:sz w:val="24"/>
          <w:szCs w:val="24"/>
          <w:color w:val="auto"/>
        </w:rPr>
      </w:pPr>
    </w:p>
    <w:tbl>
      <w:tblPr>
        <w:tblLayout w:type="fixed"/>
        <w:tblInd w:w="1880" w:type="dxa"/>
        <w:tblCellMar>
          <w:top w:w="0" w:type="dxa"/>
          <w:left w:w="0" w:type="dxa"/>
          <w:bottom w:w="0" w:type="dxa"/>
          <w:right w:w="0" w:type="dxa"/>
        </w:tblCellMar>
      </w:tblPr>
      <w:tr>
        <w:trPr>
          <w:trHeight w:val="220"/>
        </w:trPr>
        <w:tc>
          <w:tcPr>
            <w:tcW w:w="2020" w:type="dxa"/>
            <w:vAlign w:val="bottom"/>
          </w:tcPr>
          <w:p>
            <w:pPr>
              <w:spacing w:after="0"/>
              <w:rPr>
                <w:sz w:val="19"/>
                <w:szCs w:val="19"/>
                <w:color w:val="auto"/>
              </w:rPr>
            </w:pPr>
          </w:p>
        </w:tc>
        <w:tc>
          <w:tcPr>
            <w:tcW w:w="5320" w:type="dxa"/>
            <w:vAlign w:val="bottom"/>
          </w:tcPr>
          <w:p>
            <w:pPr>
              <w:jc w:val="center"/>
              <w:ind w:right="1596"/>
              <w:spacing w:after="0"/>
              <w:rPr>
                <w:sz w:val="20"/>
                <w:szCs w:val="20"/>
                <w:color w:val="auto"/>
              </w:rPr>
            </w:pPr>
            <w:r>
              <w:rPr>
                <w:rFonts w:ascii="Times New Roman" w:cs="Times New Roman" w:eastAsia="Times New Roman" w:hAnsi="Times New Roman"/>
                <w:sz w:val="18"/>
                <w:szCs w:val="18"/>
                <w:b w:val="1"/>
                <w:bCs w:val="1"/>
                <w:color w:val="auto"/>
              </w:rPr>
              <w:t>Commission file number 001-36156</w:t>
            </w:r>
          </w:p>
        </w:tc>
      </w:tr>
      <w:tr>
        <w:trPr>
          <w:trHeight w:val="234"/>
        </w:trPr>
        <w:tc>
          <w:tcPr>
            <w:tcW w:w="2020" w:type="dxa"/>
            <w:vAlign w:val="bottom"/>
          </w:tcPr>
          <w:p>
            <w:pPr>
              <w:spacing w:after="0"/>
              <w:rPr>
                <w:sz w:val="20"/>
                <w:szCs w:val="20"/>
                <w:color w:val="auto"/>
              </w:rPr>
            </w:pPr>
          </w:p>
        </w:tc>
        <w:tc>
          <w:tcPr>
            <w:tcW w:w="5320" w:type="dxa"/>
            <w:vAlign w:val="bottom"/>
          </w:tcPr>
          <w:p>
            <w:pPr>
              <w:jc w:val="right"/>
              <w:ind w:right="1976"/>
              <w:spacing w:after="0"/>
              <w:rPr>
                <w:sz w:val="20"/>
                <w:szCs w:val="20"/>
                <w:color w:val="auto"/>
              </w:rPr>
            </w:pPr>
            <w:r>
              <w:rPr>
                <w:rFonts w:ascii="Times New Roman" w:cs="Times New Roman" w:eastAsia="Times New Roman" w:hAnsi="Times New Roman"/>
                <w:sz w:val="18"/>
                <w:szCs w:val="18"/>
                <w:color w:val="auto"/>
              </w:rPr>
              <w:t>________________________________</w:t>
            </w:r>
          </w:p>
        </w:tc>
      </w:tr>
      <w:tr>
        <w:trPr>
          <w:trHeight w:val="477"/>
        </w:trPr>
        <w:tc>
          <w:tcPr>
            <w:tcW w:w="2020" w:type="dxa"/>
            <w:vAlign w:val="bottom"/>
          </w:tcPr>
          <w:p>
            <w:pPr>
              <w:spacing w:after="0"/>
              <w:rPr>
                <w:sz w:val="24"/>
                <w:szCs w:val="24"/>
                <w:color w:val="auto"/>
              </w:rPr>
            </w:pPr>
          </w:p>
        </w:tc>
        <w:tc>
          <w:tcPr>
            <w:tcW w:w="5320" w:type="dxa"/>
            <w:vAlign w:val="bottom"/>
          </w:tcPr>
          <w:p>
            <w:pPr>
              <w:jc w:val="center"/>
              <w:ind w:right="1596"/>
              <w:spacing w:after="0"/>
              <w:rPr>
                <w:sz w:val="20"/>
                <w:szCs w:val="20"/>
                <w:color w:val="auto"/>
              </w:rPr>
            </w:pPr>
            <w:r>
              <w:rPr>
                <w:rFonts w:ascii="Times New Roman" w:cs="Times New Roman" w:eastAsia="Times New Roman" w:hAnsi="Times New Roman"/>
                <w:sz w:val="29"/>
                <w:szCs w:val="29"/>
                <w:b w:val="1"/>
                <w:bCs w:val="1"/>
                <w:color w:val="auto"/>
                <w:w w:val="99"/>
              </w:rPr>
              <w:t>VERACYTE, INC.</w:t>
            </w:r>
          </w:p>
        </w:tc>
      </w:tr>
      <w:tr>
        <w:trPr>
          <w:trHeight w:val="166"/>
        </w:trPr>
        <w:tc>
          <w:tcPr>
            <w:tcW w:w="2020" w:type="dxa"/>
            <w:vAlign w:val="bottom"/>
          </w:tcPr>
          <w:p>
            <w:pPr>
              <w:spacing w:after="0"/>
              <w:rPr>
                <w:sz w:val="14"/>
                <w:szCs w:val="14"/>
                <w:color w:val="auto"/>
              </w:rPr>
            </w:pPr>
          </w:p>
        </w:tc>
        <w:tc>
          <w:tcPr>
            <w:tcW w:w="5320" w:type="dxa"/>
            <w:vAlign w:val="bottom"/>
          </w:tcPr>
          <w:p>
            <w:pPr>
              <w:jc w:val="center"/>
              <w:ind w:right="1616"/>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r>
      <w:tr>
        <w:trPr>
          <w:trHeight w:val="234"/>
        </w:trPr>
        <w:tc>
          <w:tcPr>
            <w:tcW w:w="2020" w:type="dxa"/>
            <w:vAlign w:val="bottom"/>
          </w:tcPr>
          <w:p>
            <w:pPr>
              <w:spacing w:after="0"/>
              <w:rPr>
                <w:sz w:val="20"/>
                <w:szCs w:val="20"/>
                <w:color w:val="auto"/>
              </w:rPr>
            </w:pPr>
          </w:p>
        </w:tc>
        <w:tc>
          <w:tcPr>
            <w:tcW w:w="5320" w:type="dxa"/>
            <w:vAlign w:val="bottom"/>
          </w:tcPr>
          <w:p>
            <w:pPr>
              <w:jc w:val="right"/>
              <w:ind w:right="1996"/>
              <w:spacing w:after="0"/>
              <w:rPr>
                <w:sz w:val="20"/>
                <w:szCs w:val="20"/>
                <w:color w:val="auto"/>
              </w:rPr>
            </w:pPr>
            <w:r>
              <w:rPr>
                <w:rFonts w:ascii="Times New Roman" w:cs="Times New Roman" w:eastAsia="Times New Roman" w:hAnsi="Times New Roman"/>
                <w:sz w:val="18"/>
                <w:szCs w:val="18"/>
                <w:color w:val="auto"/>
              </w:rPr>
              <w:t>________________________________</w:t>
            </w:r>
          </w:p>
        </w:tc>
      </w:tr>
      <w:tr>
        <w:trPr>
          <w:trHeight w:val="540"/>
        </w:trPr>
        <w:tc>
          <w:tcPr>
            <w:tcW w:w="2020" w:type="dxa"/>
            <w:vAlign w:val="bottom"/>
          </w:tcPr>
          <w:p>
            <w:pPr>
              <w:jc w:val="center"/>
              <w:ind w:right="20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320" w:type="dxa"/>
            <w:vAlign w:val="bottom"/>
          </w:tcPr>
          <w:p>
            <w:pPr>
              <w:jc w:val="center"/>
              <w:ind w:left="4176"/>
              <w:spacing w:after="0"/>
              <w:rPr>
                <w:sz w:val="20"/>
                <w:szCs w:val="20"/>
                <w:color w:val="auto"/>
              </w:rPr>
            </w:pPr>
            <w:r>
              <w:rPr>
                <w:rFonts w:ascii="Times New Roman" w:cs="Times New Roman" w:eastAsia="Times New Roman" w:hAnsi="Times New Roman"/>
                <w:sz w:val="18"/>
                <w:szCs w:val="18"/>
                <w:b w:val="1"/>
                <w:bCs w:val="1"/>
                <w:color w:val="auto"/>
                <w:w w:val="98"/>
              </w:rPr>
              <w:t>20-5455398</w:t>
            </w:r>
          </w:p>
        </w:tc>
      </w:tr>
      <w:tr>
        <w:trPr>
          <w:trHeight w:val="220"/>
        </w:trPr>
        <w:tc>
          <w:tcPr>
            <w:tcW w:w="2020" w:type="dxa"/>
            <w:vAlign w:val="bottom"/>
          </w:tcPr>
          <w:p>
            <w:pPr>
              <w:jc w:val="center"/>
              <w:ind w:right="202"/>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5320" w:type="dxa"/>
            <w:vAlign w:val="bottom"/>
          </w:tcPr>
          <w:p>
            <w:pPr>
              <w:jc w:val="center"/>
              <w:ind w:left="4176"/>
              <w:spacing w:after="0"/>
              <w:rPr>
                <w:sz w:val="20"/>
                <w:szCs w:val="20"/>
                <w:color w:val="auto"/>
              </w:rPr>
            </w:pPr>
            <w:r>
              <w:rPr>
                <w:rFonts w:ascii="Times New Roman" w:cs="Times New Roman" w:eastAsia="Times New Roman" w:hAnsi="Times New Roman"/>
                <w:sz w:val="14"/>
                <w:szCs w:val="14"/>
                <w:color w:val="auto"/>
              </w:rPr>
              <w:t>(I.R.S. Employer</w:t>
            </w:r>
          </w:p>
        </w:tc>
      </w:tr>
      <w:tr>
        <w:trPr>
          <w:trHeight w:val="203"/>
        </w:trPr>
        <w:tc>
          <w:tcPr>
            <w:tcW w:w="2020" w:type="dxa"/>
            <w:vAlign w:val="bottom"/>
          </w:tcPr>
          <w:p>
            <w:pPr>
              <w:jc w:val="center"/>
              <w:ind w:right="202"/>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320" w:type="dxa"/>
            <w:vAlign w:val="bottom"/>
          </w:tcPr>
          <w:p>
            <w:pPr>
              <w:jc w:val="center"/>
              <w:ind w:left="4156"/>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363"/>
        </w:trPr>
        <w:tc>
          <w:tcPr>
            <w:tcW w:w="2020" w:type="dxa"/>
            <w:vAlign w:val="bottom"/>
          </w:tcPr>
          <w:p>
            <w:pPr>
              <w:spacing w:after="0"/>
              <w:rPr>
                <w:sz w:val="24"/>
                <w:szCs w:val="24"/>
                <w:color w:val="auto"/>
              </w:rPr>
            </w:pPr>
          </w:p>
        </w:tc>
        <w:tc>
          <w:tcPr>
            <w:tcW w:w="5320" w:type="dxa"/>
            <w:vAlign w:val="bottom"/>
          </w:tcPr>
          <w:p>
            <w:pPr>
              <w:jc w:val="center"/>
              <w:ind w:right="1616"/>
              <w:spacing w:after="0"/>
              <w:rPr>
                <w:sz w:val="20"/>
                <w:szCs w:val="20"/>
                <w:color w:val="auto"/>
              </w:rPr>
            </w:pPr>
            <w:r>
              <w:rPr>
                <w:rFonts w:ascii="Times New Roman" w:cs="Times New Roman" w:eastAsia="Times New Roman" w:hAnsi="Times New Roman"/>
                <w:sz w:val="14"/>
                <w:szCs w:val="14"/>
                <w:b w:val="1"/>
                <w:bCs w:val="1"/>
                <w:color w:val="auto"/>
              </w:rPr>
              <w:t>6000 Shoreline Court, Suite 300</w:t>
            </w:r>
          </w:p>
        </w:tc>
      </w:tr>
      <w:tr>
        <w:trPr>
          <w:trHeight w:val="164"/>
        </w:trPr>
        <w:tc>
          <w:tcPr>
            <w:tcW w:w="2020" w:type="dxa"/>
            <w:vAlign w:val="bottom"/>
          </w:tcPr>
          <w:p>
            <w:pPr>
              <w:spacing w:after="0"/>
              <w:rPr>
                <w:sz w:val="14"/>
                <w:szCs w:val="14"/>
                <w:color w:val="auto"/>
              </w:rPr>
            </w:pPr>
          </w:p>
        </w:tc>
        <w:tc>
          <w:tcPr>
            <w:tcW w:w="5320" w:type="dxa"/>
            <w:vAlign w:val="bottom"/>
          </w:tcPr>
          <w:p>
            <w:pPr>
              <w:jc w:val="center"/>
              <w:ind w:right="1596"/>
              <w:spacing w:after="0"/>
              <w:rPr>
                <w:sz w:val="20"/>
                <w:szCs w:val="20"/>
                <w:color w:val="auto"/>
              </w:rPr>
            </w:pPr>
            <w:r>
              <w:rPr>
                <w:rFonts w:ascii="Times New Roman" w:cs="Times New Roman" w:eastAsia="Times New Roman" w:hAnsi="Times New Roman"/>
                <w:sz w:val="14"/>
                <w:szCs w:val="14"/>
                <w:b w:val="1"/>
                <w:bCs w:val="1"/>
                <w:color w:val="auto"/>
              </w:rPr>
              <w:t>South San Francisco, California 94080</w:t>
            </w:r>
          </w:p>
        </w:tc>
      </w:tr>
      <w:tr>
        <w:trPr>
          <w:trHeight w:val="188"/>
        </w:trPr>
        <w:tc>
          <w:tcPr>
            <w:tcW w:w="2020" w:type="dxa"/>
            <w:vAlign w:val="bottom"/>
          </w:tcPr>
          <w:p>
            <w:pPr>
              <w:spacing w:after="0"/>
              <w:rPr>
                <w:sz w:val="16"/>
                <w:szCs w:val="16"/>
                <w:color w:val="auto"/>
              </w:rPr>
            </w:pPr>
          </w:p>
        </w:tc>
        <w:tc>
          <w:tcPr>
            <w:tcW w:w="5320" w:type="dxa"/>
            <w:vAlign w:val="bottom"/>
          </w:tcPr>
          <w:p>
            <w:pPr>
              <w:jc w:val="center"/>
              <w:ind w:right="1596"/>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tc>
      </w:tr>
      <w:tr>
        <w:trPr>
          <w:trHeight w:val="298"/>
        </w:trPr>
        <w:tc>
          <w:tcPr>
            <w:tcW w:w="2020" w:type="dxa"/>
            <w:vAlign w:val="bottom"/>
          </w:tcPr>
          <w:p>
            <w:pPr>
              <w:spacing w:after="0"/>
              <w:rPr>
                <w:sz w:val="24"/>
                <w:szCs w:val="24"/>
                <w:color w:val="auto"/>
              </w:rPr>
            </w:pPr>
          </w:p>
        </w:tc>
        <w:tc>
          <w:tcPr>
            <w:tcW w:w="5320" w:type="dxa"/>
            <w:vAlign w:val="bottom"/>
          </w:tcPr>
          <w:p>
            <w:pPr>
              <w:jc w:val="right"/>
              <w:ind w:right="2976"/>
              <w:spacing w:after="0"/>
              <w:rPr>
                <w:sz w:val="20"/>
                <w:szCs w:val="20"/>
                <w:color w:val="auto"/>
              </w:rPr>
            </w:pPr>
            <w:r>
              <w:rPr>
                <w:rFonts w:ascii="Times New Roman" w:cs="Times New Roman" w:eastAsia="Times New Roman" w:hAnsi="Times New Roman"/>
                <w:sz w:val="14"/>
                <w:szCs w:val="14"/>
                <w:b w:val="1"/>
                <w:bCs w:val="1"/>
                <w:color w:val="auto"/>
              </w:rPr>
              <w:t>(650) 243-6300</w:t>
            </w:r>
          </w:p>
        </w:tc>
      </w:tr>
      <w:tr>
        <w:trPr>
          <w:trHeight w:val="166"/>
        </w:trPr>
        <w:tc>
          <w:tcPr>
            <w:tcW w:w="2020" w:type="dxa"/>
            <w:vAlign w:val="bottom"/>
          </w:tcPr>
          <w:p>
            <w:pPr>
              <w:spacing w:after="0"/>
              <w:rPr>
                <w:sz w:val="14"/>
                <w:szCs w:val="14"/>
                <w:color w:val="auto"/>
              </w:rPr>
            </w:pPr>
          </w:p>
        </w:tc>
        <w:tc>
          <w:tcPr>
            <w:tcW w:w="5320" w:type="dxa"/>
            <w:vAlign w:val="bottom"/>
          </w:tcPr>
          <w:p>
            <w:pPr>
              <w:jc w:val="center"/>
              <w:ind w:right="1596"/>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234"/>
        </w:trPr>
        <w:tc>
          <w:tcPr>
            <w:tcW w:w="2020" w:type="dxa"/>
            <w:vAlign w:val="bottom"/>
          </w:tcPr>
          <w:p>
            <w:pPr>
              <w:spacing w:after="0"/>
              <w:rPr>
                <w:sz w:val="20"/>
                <w:szCs w:val="20"/>
                <w:color w:val="auto"/>
              </w:rPr>
            </w:pPr>
          </w:p>
        </w:tc>
        <w:tc>
          <w:tcPr>
            <w:tcW w:w="5320" w:type="dxa"/>
            <w:vAlign w:val="bottom"/>
          </w:tcPr>
          <w:p>
            <w:pPr>
              <w:jc w:val="center"/>
              <w:ind w:right="1556"/>
              <w:spacing w:after="0"/>
              <w:rPr>
                <w:sz w:val="20"/>
                <w:szCs w:val="20"/>
                <w:color w:val="auto"/>
              </w:rPr>
            </w:pPr>
            <w:r>
              <w:rPr>
                <w:rFonts w:ascii="Times New Roman" w:cs="Times New Roman" w:eastAsia="Times New Roman" w:hAnsi="Times New Roman"/>
                <w:sz w:val="18"/>
                <w:szCs w:val="18"/>
                <w:color w:val="auto"/>
                <w:w w:val="99"/>
              </w:rPr>
              <w:t>________________________________</w:t>
            </w:r>
          </w:p>
        </w:tc>
      </w:tr>
    </w:tbl>
    <w:p>
      <w:pPr>
        <w:spacing w:after="0" w:line="193" w:lineRule="exact"/>
        <w:rPr>
          <w:sz w:val="24"/>
          <w:szCs w:val="24"/>
          <w:color w:val="auto"/>
        </w:rPr>
      </w:pPr>
    </w:p>
    <w:p>
      <w:pPr>
        <w:ind w:right="120" w:firstLine="243"/>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o</w:t>
      </w:r>
    </w:p>
    <w:p>
      <w:pPr>
        <w:spacing w:after="0" w:line="123" w:lineRule="exact"/>
        <w:rPr>
          <w:sz w:val="24"/>
          <w:szCs w:val="24"/>
          <w:color w:val="auto"/>
        </w:rPr>
      </w:pPr>
    </w:p>
    <w:p>
      <w:pPr>
        <w:ind w:firstLine="243"/>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o</w:t>
      </w:r>
    </w:p>
    <w:p>
      <w:pPr>
        <w:spacing w:after="0" w:line="123" w:lineRule="exact"/>
        <w:rPr>
          <w:sz w:val="24"/>
          <w:szCs w:val="24"/>
          <w:color w:val="auto"/>
        </w:rPr>
      </w:pPr>
    </w:p>
    <w:p>
      <w:pPr>
        <w:ind w:right="340" w:firstLine="243"/>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225" w:right="259" w:bottom="1440" w:gutter="0" w:footer="0" w:header="0"/>
        </w:sectPr>
      </w:pPr>
    </w:p>
    <w:p>
      <w:pPr>
        <w:spacing w:after="0" w:line="135"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4"/>
          <w:szCs w:val="14"/>
          <w:color w:val="auto"/>
        </w:rPr>
        <w:t>Large accelerated filer o</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 x</w:t>
      </w:r>
    </w:p>
    <w:p>
      <w:pPr>
        <w:spacing w:after="0" w:line="200" w:lineRule="exact"/>
        <w:rPr>
          <w:sz w:val="24"/>
          <w:szCs w:val="24"/>
          <w:color w:val="auto"/>
        </w:rPr>
      </w:pPr>
    </w:p>
    <w:p>
      <w:pPr>
        <w:sectPr>
          <w:pgSz w:w="11900" w:h="16838" w:orient="portrait"/>
          <w:cols w:equalWidth="0" w:num="2">
            <w:col w:w="7420" w:space="720"/>
            <w:col w:w="3260"/>
          </w:cols>
          <w:pgMar w:left="240" w:top="225" w:right="259" w:bottom="1440" w:gutter="0" w:footer="0" w:header="0"/>
          <w:type w:val="continuous"/>
        </w:sectPr>
      </w:pPr>
    </w:p>
    <w:p>
      <w:pPr>
        <w:spacing w:after="0" w:line="31"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4"/>
          <w:szCs w:val="14"/>
          <w:color w:val="auto"/>
        </w:rPr>
        <w:t>Non-accelerated filer o</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 x</w:t>
      </w:r>
    </w:p>
    <w:p>
      <w:pPr>
        <w:spacing w:after="0" w:line="200" w:lineRule="exact"/>
        <w:rPr>
          <w:sz w:val="24"/>
          <w:szCs w:val="24"/>
          <w:color w:val="auto"/>
        </w:rPr>
      </w:pPr>
    </w:p>
    <w:p>
      <w:pPr>
        <w:sectPr>
          <w:pgSz w:w="11900" w:h="16838" w:orient="portrait"/>
          <w:cols w:equalWidth="0" w:num="2">
            <w:col w:w="7120" w:space="720"/>
            <w:col w:w="3560"/>
          </w:cols>
          <w:pgMar w:left="240" w:top="225" w:right="259" w:bottom="1440" w:gutter="0" w:footer="0" w:header="0"/>
          <w:type w:val="continuous"/>
        </w:sectPr>
      </w:pPr>
    </w:p>
    <w:p>
      <w:pPr>
        <w:spacing w:after="0" w:line="31" w:lineRule="exact"/>
        <w:rPr>
          <w:sz w:val="24"/>
          <w:szCs w:val="24"/>
          <w:color w:val="auto"/>
        </w:rPr>
      </w:pPr>
    </w:p>
    <w:p>
      <w:pPr>
        <w:ind w:left="7840"/>
        <w:spacing w:after="0"/>
        <w:rPr>
          <w:sz w:val="20"/>
          <w:szCs w:val="20"/>
          <w:color w:val="auto"/>
        </w:rPr>
      </w:pPr>
      <w:r>
        <w:rPr>
          <w:rFonts w:ascii="Times New Roman" w:cs="Times New Roman" w:eastAsia="Times New Roman" w:hAnsi="Times New Roman"/>
          <w:sz w:val="14"/>
          <w:szCs w:val="14"/>
          <w:color w:val="auto"/>
        </w:rPr>
        <w:t>Emerging growth company o</w:t>
      </w:r>
    </w:p>
    <w:p>
      <w:pPr>
        <w:sectPr>
          <w:pgSz w:w="11900" w:h="16838" w:orient="portrait"/>
          <w:cols w:equalWidth="0" w:num="1">
            <w:col w:w="11400"/>
          </w:cols>
          <w:pgMar w:left="240" w:top="225" w:right="259" w:bottom="1440" w:gutter="0" w:footer="0" w:header="0"/>
          <w:type w:val="continuous"/>
        </w:sectPr>
      </w:pPr>
    </w:p>
    <w:p>
      <w:pPr>
        <w:spacing w:after="0" w:line="55" w:lineRule="exact"/>
        <w:rPr>
          <w:sz w:val="24"/>
          <w:szCs w:val="24"/>
          <w:color w:val="auto"/>
        </w:rPr>
      </w:pPr>
    </w:p>
    <w:p>
      <w:pPr>
        <w:ind w:right="480" w:firstLine="243"/>
        <w:spacing w:after="0" w:line="282"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85" w:lineRule="exact"/>
        <w:rPr>
          <w:sz w:val="24"/>
          <w:szCs w:val="24"/>
          <w:color w:val="auto"/>
        </w:rPr>
      </w:pPr>
    </w:p>
    <w:p>
      <w:pPr>
        <w:ind w:left="26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Act).Yes o No </w:t>
      </w:r>
      <w:r>
        <w:rPr>
          <w:rFonts w:ascii="MS PGothic" w:cs="MS PGothic" w:eastAsia="MS PGothic" w:hAnsi="MS PGothic"/>
          <w:sz w:val="14"/>
          <w:szCs w:val="14"/>
          <w:color w:val="auto"/>
        </w:rPr>
        <w:t>☒</w:t>
      </w:r>
    </w:p>
    <w:p>
      <w:pPr>
        <w:spacing w:after="0" w:line="186"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April 26, 2019, there were 41,642,603 shares of common stock, par value $0.001 per share, outstanding.</w:t>
      </w:r>
    </w:p>
    <w:p>
      <w:pPr>
        <w:sectPr>
          <w:pgSz w:w="11900" w:h="16838" w:orient="portrait"/>
          <w:cols w:equalWidth="0" w:num="1">
            <w:col w:w="11400"/>
          </w:cols>
          <w:pgMar w:left="240" w:top="225" w:right="259" w:bottom="1440" w:gutter="0" w:footer="0" w:header="0"/>
          <w:type w:val="continuous"/>
        </w:sectPr>
      </w:pPr>
    </w:p>
    <w:bookmarkStart w:id="1" w:name="page2"/>
    <w:bookmarkEnd w:id="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4"/>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0" w:type="dxa"/>
            <w:vAlign w:val="bottom"/>
          </w:tcPr>
          <w:p>
            <w:pPr>
              <w:spacing w:after="0"/>
              <w:rPr>
                <w:sz w:val="1"/>
                <w:szCs w:val="1"/>
                <w:color w:val="auto"/>
              </w:rPr>
            </w:pPr>
          </w:p>
        </w:tc>
      </w:tr>
      <w:tr>
        <w:trPr>
          <w:trHeight w:val="189"/>
        </w:trPr>
        <w:tc>
          <w:tcPr>
            <w:tcW w:w="10360" w:type="dxa"/>
            <w:vAlign w:val="bottom"/>
            <w:gridSpan w:val="18"/>
          </w:tcPr>
          <w:p>
            <w:pPr>
              <w:spacing w:after="0" w:line="189" w:lineRule="exact"/>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PART I. — FINANCIAL INFORMATION</w:t>
              </w:r>
            </w:hyperlink>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220" w:type="dxa"/>
            <w:vAlign w:val="bottom"/>
            <w:gridSpan w:val="17"/>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 Condensed Financial Statements (Unaudited)</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20" w:type="dxa"/>
            <w:vAlign w:val="bottom"/>
            <w:gridSpan w:val="16"/>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Balance Sheets as of March 31, 2019 and December 31, 2018</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Statements of Operations and Comprehensive Loss for the Three Month Periods Ended March 31, 2019 and 2018</w:t>
              </w:r>
            </w:hyperlink>
          </w:p>
        </w:tc>
        <w:tc>
          <w:tcPr>
            <w:tcW w:w="980" w:type="dxa"/>
            <w:vAlign w:val="bottom"/>
            <w:vMerge w:val="restart"/>
          </w:tcPr>
          <w:p>
            <w:pPr>
              <w:spacing w:after="0"/>
              <w:rPr>
                <w:sz w:val="21"/>
                <w:szCs w:val="21"/>
                <w:color w:val="auto"/>
              </w:rPr>
            </w:pPr>
          </w:p>
        </w:tc>
        <w:tc>
          <w:tcPr>
            <w:tcW w:w="900" w:type="dxa"/>
            <w:vAlign w:val="bottom"/>
            <w:gridSpan w:val="2"/>
            <w:vMerge w:val="restart"/>
          </w:tcPr>
          <w:p>
            <w:pPr>
              <w:spacing w:after="0"/>
              <w:rPr>
                <w:sz w:val="21"/>
                <w:szCs w:val="21"/>
                <w:color w:val="auto"/>
              </w:rPr>
            </w:pPr>
          </w:p>
        </w:tc>
        <w:tc>
          <w:tcPr>
            <w:tcW w:w="100" w:type="dxa"/>
            <w:vAlign w:val="bottom"/>
            <w:vMerge w:val="restart"/>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2</w:t>
              </w:r>
            </w:hyperlink>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39"/>
        </w:trPr>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700" w:type="dxa"/>
            <w:vAlign w:val="bottom"/>
            <w:gridSpan w:val="2"/>
          </w:tcPr>
          <w:p>
            <w:pPr>
              <w:spacing w:after="0"/>
              <w:rPr>
                <w:sz w:val="2"/>
                <w:szCs w:val="2"/>
                <w:color w:val="auto"/>
              </w:rPr>
            </w:pPr>
          </w:p>
        </w:tc>
        <w:tc>
          <w:tcPr>
            <w:tcW w:w="210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0" w:type="dxa"/>
            <w:vAlign w:val="bottom"/>
            <w:tcBorders>
              <w:bottom w:val="single" w:sz="8" w:color="0000EE"/>
            </w:tcBorders>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Statements of Stockholders' Equity for the Three Month Periods Ended March 31, 2019 and 2018</w:t>
              </w:r>
            </w:hyperlink>
          </w:p>
        </w:tc>
        <w:tc>
          <w:tcPr>
            <w:tcW w:w="2140" w:type="dxa"/>
            <w:vAlign w:val="bottom"/>
            <w:gridSpan w:val="2"/>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20" w:type="dxa"/>
            <w:vAlign w:val="bottom"/>
            <w:gridSpan w:val="16"/>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Statements of Cash Flows for the Three Month Periods Ended March 31, 2019 and 2018</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4</w:t>
              </w:r>
            </w:hyperlink>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20" w:type="dxa"/>
            <w:vAlign w:val="bottom"/>
            <w:tcBorders>
              <w:top w:val="single" w:sz="8" w:color="0000EE"/>
            </w:tcBorders>
            <w:gridSpan w:val="13"/>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Condensed Financial Statements</w:t>
              </w:r>
            </w:hyperlink>
          </w:p>
        </w:tc>
        <w:tc>
          <w:tcPr>
            <w:tcW w:w="2800" w:type="dxa"/>
            <w:vAlign w:val="bottom"/>
            <w:gridSpan w:val="3"/>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Times New Roman" w:cs="Times New Roman" w:eastAsia="Times New Roman" w:hAnsi="Times New Roman"/>
                <w:sz w:val="18"/>
                <w:szCs w:val="18"/>
                <w:color w:val="0000EE"/>
                <w:w w:val="97"/>
              </w:rPr>
            </w:pPr>
            <w:hyperlink w:anchor="page17">
              <w:r>
                <w:rPr>
                  <w:rFonts w:ascii="Times New Roman" w:cs="Times New Roman" w:eastAsia="Times New Roman" w:hAnsi="Times New Roman"/>
                  <w:sz w:val="18"/>
                  <w:szCs w:val="18"/>
                  <w:color w:val="0000EE"/>
                  <w:w w:val="97"/>
                </w:rPr>
                <w:t>Item 2.</w:t>
              </w:r>
            </w:hyperlink>
          </w:p>
        </w:tc>
        <w:tc>
          <w:tcPr>
            <w:tcW w:w="9700" w:type="dxa"/>
            <w:vAlign w:val="bottom"/>
            <w:gridSpan w:val="15"/>
          </w:tcPr>
          <w:p>
            <w:pPr>
              <w:ind w:left="20"/>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15</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Times New Roman" w:cs="Times New Roman" w:eastAsia="Times New Roman" w:hAnsi="Times New Roman"/>
                <w:sz w:val="18"/>
                <w:szCs w:val="18"/>
                <w:color w:val="0000EE"/>
                <w:w w:val="97"/>
              </w:rPr>
            </w:pPr>
            <w:hyperlink w:anchor="page30">
              <w:r>
                <w:rPr>
                  <w:rFonts w:ascii="Times New Roman" w:cs="Times New Roman" w:eastAsia="Times New Roman" w:hAnsi="Times New Roman"/>
                  <w:sz w:val="18"/>
                  <w:szCs w:val="18"/>
                  <w:color w:val="0000EE"/>
                  <w:w w:val="97"/>
                </w:rPr>
                <w:t>Item 3.</w:t>
              </w:r>
            </w:hyperlink>
          </w:p>
        </w:tc>
        <w:tc>
          <w:tcPr>
            <w:tcW w:w="6480" w:type="dxa"/>
            <w:vAlign w:val="bottom"/>
            <w:gridSpan w:val="11"/>
          </w:tcPr>
          <w:p>
            <w:pPr>
              <w:ind w:left="20"/>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Quantitative and Qualitative Disclosures About Market Risk</w:t>
              </w:r>
            </w:hyperlink>
          </w:p>
        </w:tc>
        <w:tc>
          <w:tcPr>
            <w:tcW w:w="3220" w:type="dxa"/>
            <w:vAlign w:val="bottom"/>
            <w:gridSpan w:val="4"/>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27</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532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Times New Roman" w:cs="Times New Roman" w:eastAsia="Times New Roman" w:hAnsi="Times New Roman"/>
                <w:sz w:val="18"/>
                <w:szCs w:val="18"/>
                <w:color w:val="0000EE"/>
                <w:w w:val="97"/>
              </w:rPr>
            </w:pPr>
            <w:hyperlink w:anchor="page30">
              <w:r>
                <w:rPr>
                  <w:rFonts w:ascii="Times New Roman" w:cs="Times New Roman" w:eastAsia="Times New Roman" w:hAnsi="Times New Roman"/>
                  <w:sz w:val="18"/>
                  <w:szCs w:val="18"/>
                  <w:color w:val="0000EE"/>
                  <w:w w:val="97"/>
                </w:rPr>
                <w:t>Item 4.</w:t>
              </w:r>
            </w:hyperlink>
          </w:p>
        </w:tc>
        <w:tc>
          <w:tcPr>
            <w:tcW w:w="1800" w:type="dxa"/>
            <w:vAlign w:val="bottom"/>
            <w:gridSpan w:val="4"/>
          </w:tcPr>
          <w:p>
            <w:pPr>
              <w:ind w:left="20"/>
              <w:spacing w:after="0"/>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Controls and Procedures</w:t>
              </w:r>
            </w:hyperlink>
          </w:p>
        </w:tc>
        <w:tc>
          <w:tcPr>
            <w:tcW w:w="2580" w:type="dxa"/>
            <w:vAlign w:val="bottom"/>
            <w:gridSpan w:val="5"/>
          </w:tcPr>
          <w:p>
            <w:pPr>
              <w:spacing w:after="0"/>
              <w:rPr>
                <w:sz w:val="21"/>
                <w:szCs w:val="21"/>
                <w:color w:val="auto"/>
              </w:rPr>
            </w:pPr>
          </w:p>
        </w:tc>
        <w:tc>
          <w:tcPr>
            <w:tcW w:w="5320" w:type="dxa"/>
            <w:vAlign w:val="bottom"/>
            <w:gridSpan w:val="6"/>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27</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380" w:type="dxa"/>
            <w:vAlign w:val="bottom"/>
            <w:gridSpan w:val="1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360" w:type="dxa"/>
            <w:vAlign w:val="bottom"/>
            <w:gridSpan w:val="18"/>
          </w:tcPr>
          <w:p>
            <w:pPr>
              <w:spacing w:after="0"/>
              <w:rPr>
                <w:rFonts w:ascii="Times New Roman" w:cs="Times New Roman" w:eastAsia="Times New Roman" w:hAnsi="Times New Roman"/>
                <w:sz w:val="18"/>
                <w:szCs w:val="18"/>
                <w:b w:val="1"/>
                <w:bCs w:val="1"/>
                <w:color w:val="0000EE"/>
              </w:rPr>
            </w:pPr>
            <w:hyperlink w:anchor="page31">
              <w:r>
                <w:rPr>
                  <w:rFonts w:ascii="Times New Roman" w:cs="Times New Roman" w:eastAsia="Times New Roman" w:hAnsi="Times New Roman"/>
                  <w:sz w:val="18"/>
                  <w:szCs w:val="18"/>
                  <w:b w:val="1"/>
                  <w:bCs w:val="1"/>
                  <w:color w:val="0000EE"/>
                </w:rPr>
                <w:t>PART II. — OTHER INFORMATION</w:t>
              </w:r>
            </w:hyperlink>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0" w:type="dxa"/>
            <w:vAlign w:val="bottom"/>
            <w:tcBorders>
              <w:top w:val="single" w:sz="8" w:color="0000EE"/>
            </w:tcBorders>
          </w:tcPr>
          <w:p>
            <w:pPr>
              <w:spacing w:after="0"/>
              <w:rPr>
                <w:sz w:val="21"/>
                <w:szCs w:val="21"/>
                <w:color w:val="auto"/>
              </w:rPr>
            </w:pPr>
          </w:p>
        </w:tc>
        <w:tc>
          <w:tcPr>
            <w:tcW w:w="1580" w:type="dxa"/>
            <w:vAlign w:val="bottom"/>
            <w:tcBorders>
              <w:top w:val="single" w:sz="8" w:color="0000EE"/>
            </w:tcBorders>
            <w:gridSpan w:val="5"/>
          </w:tcPr>
          <w:p>
            <w:pPr>
              <w:spacing w:after="0"/>
              <w:rPr>
                <w:rFonts w:ascii="Times New Roman" w:cs="Times New Roman" w:eastAsia="Times New Roman" w:hAnsi="Times New Roman"/>
                <w:sz w:val="18"/>
                <w:szCs w:val="18"/>
                <w:color w:val="0000EE"/>
                <w:w w:val="98"/>
              </w:rPr>
            </w:pPr>
            <w:hyperlink w:anchor="page31">
              <w:r>
                <w:rPr>
                  <w:rFonts w:ascii="Times New Roman" w:cs="Times New Roman" w:eastAsia="Times New Roman" w:hAnsi="Times New Roman"/>
                  <w:sz w:val="18"/>
                  <w:szCs w:val="18"/>
                  <w:color w:val="0000EE"/>
                  <w:w w:val="98"/>
                </w:rPr>
                <w:t>Item 1A. Risk Factors</w:t>
              </w:r>
            </w:hyperlink>
          </w:p>
        </w:tc>
        <w:tc>
          <w:tcPr>
            <w:tcW w:w="1260" w:type="dxa"/>
            <w:vAlign w:val="bottom"/>
            <w:tcBorders>
              <w:top w:val="single" w:sz="8" w:color="0000EE"/>
            </w:tcBorders>
            <w:gridSpan w:val="2"/>
          </w:tcPr>
          <w:p>
            <w:pPr>
              <w:spacing w:after="0"/>
              <w:rPr>
                <w:sz w:val="21"/>
                <w:szCs w:val="21"/>
                <w:color w:val="auto"/>
              </w:rPr>
            </w:pPr>
          </w:p>
        </w:tc>
        <w:tc>
          <w:tcPr>
            <w:tcW w:w="7380" w:type="dxa"/>
            <w:vAlign w:val="bottom"/>
            <w:gridSpan w:val="10"/>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28</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640" w:type="dxa"/>
            <w:vAlign w:val="bottom"/>
            <w:gridSpan w:val="1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Times New Roman" w:cs="Times New Roman" w:eastAsia="Times New Roman" w:hAnsi="Times New Roman"/>
                <w:sz w:val="18"/>
                <w:szCs w:val="18"/>
                <w:color w:val="0000EE"/>
                <w:w w:val="97"/>
              </w:rPr>
            </w:pPr>
            <w:hyperlink w:anchor="page54">
              <w:r>
                <w:rPr>
                  <w:rFonts w:ascii="Times New Roman" w:cs="Times New Roman" w:eastAsia="Times New Roman" w:hAnsi="Times New Roman"/>
                  <w:sz w:val="18"/>
                  <w:szCs w:val="18"/>
                  <w:color w:val="0000EE"/>
                  <w:w w:val="97"/>
                </w:rPr>
                <w:t>Item 6.</w:t>
              </w:r>
            </w:hyperlink>
          </w:p>
        </w:tc>
        <w:tc>
          <w:tcPr>
            <w:tcW w:w="1060" w:type="dxa"/>
            <w:vAlign w:val="bottom"/>
            <w:gridSpan w:val="3"/>
          </w:tcPr>
          <w:p>
            <w:pPr>
              <w:ind w:left="20"/>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Exhibits</w:t>
              </w:r>
            </w:hyperlink>
          </w:p>
        </w:tc>
        <w:tc>
          <w:tcPr>
            <w:tcW w:w="8640" w:type="dxa"/>
            <w:vAlign w:val="bottom"/>
            <w:gridSpan w:val="12"/>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51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80" w:type="dxa"/>
            <w:vAlign w:val="bottom"/>
            <w:gridSpan w:val="1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gridSpan w:val="4"/>
          </w:tcPr>
          <w:p>
            <w:pPr>
              <w:spacing w:after="0"/>
              <w:rPr>
                <w:rFonts w:ascii="Times New Roman" w:cs="Times New Roman" w:eastAsia="Times New Roman" w:hAnsi="Times New Roman"/>
                <w:sz w:val="18"/>
                <w:szCs w:val="18"/>
                <w:color w:val="0000EE"/>
                <w:w w:val="96"/>
              </w:rPr>
            </w:pPr>
            <w:hyperlink w:anchor="page55">
              <w:r>
                <w:rPr>
                  <w:rFonts w:ascii="Times New Roman" w:cs="Times New Roman" w:eastAsia="Times New Roman" w:hAnsi="Times New Roman"/>
                  <w:sz w:val="18"/>
                  <w:szCs w:val="18"/>
                  <w:color w:val="0000EE"/>
                  <w:w w:val="96"/>
                </w:rPr>
                <w:t>SIGNATURES</w:t>
              </w:r>
            </w:hyperlink>
          </w:p>
        </w:tc>
        <w:tc>
          <w:tcPr>
            <w:tcW w:w="9260" w:type="dxa"/>
            <w:vAlign w:val="bottom"/>
            <w:gridSpan w:val="14"/>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52</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share and per share amounts)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34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95"/>
        </w:trPr>
        <w:tc>
          <w:tcPr>
            <w:tcW w:w="8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21"/>
                <w:szCs w:val="21"/>
                <w:color w:val="auto"/>
              </w:rPr>
            </w:pPr>
          </w:p>
        </w:tc>
        <w:tc>
          <w:tcPr>
            <w:tcW w:w="134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(See Note 1)</w:t>
            </w: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67,841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77,995</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16,615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13,168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Supplies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3,402</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2,387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90,616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96,952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8,114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8,940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Right-of-use assets - finance lease,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Right-of-use assets - operating lease</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Finite-lived 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11,733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123,537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120,638</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4,064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2,516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8,788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9,186</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1,357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Current portion of finance lease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14,329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13,059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12,854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23,925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rent, net of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3,899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12,582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39,765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40,883</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Preferred stock, $0.001 par value; 5,000,000 shares authorized, no shares issued and outstanding as of March</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31, 2019 and December 31, 2018</w:t>
            </w:r>
          </w:p>
        </w:tc>
        <w:tc>
          <w:tcPr>
            <w:tcW w:w="2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Common stock, $0.001 par value; 125,000,000 shares authorized, 41,509,240 and 40,863,202 shares issued</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3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and outstanding as of March 31, 2019 and December 31, 2018,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319,733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313,800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(234,086)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83,772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79,755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123,537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120,638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share and per share amounts</w:t>
      </w:r>
      <w:r>
        <w:rPr>
          <w:rFonts w:ascii="Times New Roman" w:cs="Times New Roman" w:eastAsia="Times New Roman" w:hAnsi="Times New Roman"/>
          <w:sz w:val="14"/>
          <w:szCs w:val="14"/>
          <w:b w:val="1"/>
          <w:bCs w:val="1"/>
          <w:color w:val="auto"/>
        </w:rPr>
        <w:t>)</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5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29,529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20,041</w:t>
            </w:r>
          </w:p>
        </w:tc>
      </w:tr>
      <w:tr>
        <w:trPr>
          <w:trHeight w:val="243"/>
        </w:trPr>
        <w:tc>
          <w:tcPr>
            <w:tcW w:w="8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7,867</w:t>
            </w:r>
          </w:p>
        </w:tc>
      </w:tr>
      <w:tr>
        <w:trPr>
          <w:trHeight w:val="243"/>
        </w:trPr>
        <w:tc>
          <w:tcPr>
            <w:tcW w:w="8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3,675</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Selling and marketing</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12,477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11,543</w:t>
            </w:r>
          </w:p>
        </w:tc>
      </w:tr>
      <w:tr>
        <w:trPr>
          <w:trHeight w:val="243"/>
        </w:trPr>
        <w:tc>
          <w:tcPr>
            <w:tcW w:w="8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5,644</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267</w:t>
            </w:r>
          </w:p>
        </w:tc>
      </w:tr>
      <w:tr>
        <w:trPr>
          <w:trHeight w:val="237"/>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31,596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28,996</w:t>
            </w:r>
          </w:p>
        </w:tc>
      </w:tr>
      <w:tr>
        <w:trPr>
          <w:trHeight w:val="27"/>
        </w:trPr>
        <w:tc>
          <w:tcPr>
            <w:tcW w:w="8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w:t>
            </w:r>
          </w:p>
        </w:tc>
      </w:tr>
      <w:tr>
        <w:trPr>
          <w:trHeight w:val="243"/>
        </w:trPr>
        <w:tc>
          <w:tcPr>
            <w:tcW w:w="8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226</w:t>
            </w:r>
          </w:p>
        </w:tc>
      </w:tr>
      <w:tr>
        <w:trPr>
          <w:trHeight w:val="297"/>
        </w:trPr>
        <w:tc>
          <w:tcPr>
            <w:tcW w:w="85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(9,177)</w:t>
            </w:r>
          </w:p>
        </w:tc>
      </w:tr>
      <w:tr>
        <w:trPr>
          <w:trHeight w:val="251"/>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r>
      <w:tr>
        <w:trPr>
          <w:trHeight w:val="20"/>
        </w:trPr>
        <w:tc>
          <w:tcPr>
            <w:tcW w:w="8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51"/>
        </w:trPr>
        <w:tc>
          <w:tcPr>
            <w:tcW w:w="8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used to compute net loss per common share, basic and diluted</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41,168,593</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34,271,254</w:t>
            </w:r>
          </w:p>
        </w:tc>
      </w:tr>
      <w:tr>
        <w:trPr>
          <w:trHeight w:val="20"/>
        </w:trPr>
        <w:tc>
          <w:tcPr>
            <w:tcW w:w="8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118" w:right="25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1940" w:type="dxa"/>
            <w:vAlign w:val="bottom"/>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5"/>
                <w:szCs w:val="15"/>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0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24"/>
        </w:trPr>
        <w:tc>
          <w:tcPr>
            <w:tcW w:w="5480" w:type="dxa"/>
            <w:vAlign w:val="bottom"/>
          </w:tcPr>
          <w:p>
            <w:pPr>
              <w:spacing w:after="0"/>
              <w:rPr>
                <w:sz w:val="10"/>
                <w:szCs w:val="10"/>
                <w:color w:val="auto"/>
              </w:rPr>
            </w:pPr>
          </w:p>
        </w:tc>
        <w:tc>
          <w:tcPr>
            <w:tcW w:w="11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jc w:val="center"/>
              <w:ind w:right="48"/>
              <w:spacing w:after="0" w:line="124"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5"/>
        </w:trPr>
        <w:tc>
          <w:tcPr>
            <w:tcW w:w="54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0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50"/>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2018</w:t>
            </w:r>
          </w:p>
        </w:tc>
        <w:tc>
          <w:tcPr>
            <w:tcW w:w="10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40,863</w:t>
            </w:r>
          </w:p>
        </w:tc>
        <w:tc>
          <w:tcPr>
            <w:tcW w:w="120" w:type="dxa"/>
            <w:vAlign w:val="bottom"/>
          </w:tcPr>
          <w:p>
            <w:pPr>
              <w:spacing w:after="0"/>
              <w:rPr>
                <w:sz w:val="21"/>
                <w:szCs w:val="21"/>
                <w:color w:val="auto"/>
              </w:rPr>
            </w:pPr>
          </w:p>
        </w:tc>
        <w:tc>
          <w:tcPr>
            <w:tcW w:w="780" w:type="dxa"/>
            <w:vAlign w:val="bottom"/>
            <w:tcBorders>
              <w:top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41</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313,800</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(234,086)</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79,755</w:t>
            </w:r>
          </w:p>
        </w:tc>
        <w:tc>
          <w:tcPr>
            <w:tcW w:w="0" w:type="dxa"/>
            <w:vAlign w:val="bottom"/>
          </w:tcPr>
          <w:p>
            <w:pPr>
              <w:spacing w:after="0"/>
              <w:rPr>
                <w:sz w:val="1"/>
                <w:szCs w:val="1"/>
                <w:color w:val="auto"/>
              </w:rPr>
            </w:pPr>
          </w:p>
        </w:tc>
      </w:tr>
      <w:tr>
        <w:trPr>
          <w:trHeight w:val="275"/>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on exercise of stock options and vesting of restricted stock units</w:t>
            </w:r>
          </w:p>
        </w:tc>
        <w:tc>
          <w:tcPr>
            <w:tcW w:w="10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566</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4,239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4,240</w:t>
            </w:r>
          </w:p>
        </w:tc>
        <w:tc>
          <w:tcPr>
            <w:tcW w:w="0" w:type="dxa"/>
            <w:vAlign w:val="bottom"/>
          </w:tcPr>
          <w:p>
            <w:pPr>
              <w:spacing w:after="0"/>
              <w:rPr>
                <w:sz w:val="1"/>
                <w:szCs w:val="1"/>
                <w:color w:val="auto"/>
              </w:rPr>
            </w:pPr>
          </w:p>
        </w:tc>
      </w:tr>
      <w:tr>
        <w:trPr>
          <w:trHeight w:val="265"/>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 (ESPP)</w:t>
            </w: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491</w:t>
            </w:r>
          </w:p>
        </w:tc>
        <w:tc>
          <w:tcPr>
            <w:tcW w:w="0" w:type="dxa"/>
            <w:vAlign w:val="bottom"/>
          </w:tcPr>
          <w:p>
            <w:pPr>
              <w:spacing w:after="0"/>
              <w:rPr>
                <w:sz w:val="1"/>
                <w:szCs w:val="1"/>
                <w:color w:val="auto"/>
              </w:rPr>
            </w:pPr>
          </w:p>
        </w:tc>
      </w:tr>
      <w:tr>
        <w:trPr>
          <w:trHeight w:val="275"/>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portion of vested restricted stock units</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23"/>
                <w:szCs w:val="23"/>
                <w:color w:val="auto"/>
              </w:rPr>
            </w:pPr>
          </w:p>
        </w:tc>
        <w:tc>
          <w:tcPr>
            <w:tcW w:w="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0" w:type="dxa"/>
            <w:vAlign w:val="bottom"/>
          </w:tcPr>
          <w:p>
            <w:pPr>
              <w:spacing w:after="0"/>
              <w:rPr>
                <w:sz w:val="1"/>
                <w:szCs w:val="1"/>
                <w:color w:val="auto"/>
              </w:rPr>
            </w:pPr>
          </w:p>
        </w:tc>
      </w:tr>
      <w:tr>
        <w:trPr>
          <w:trHeight w:val="265"/>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(employee)</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23"/>
                <w:szCs w:val="23"/>
                <w:color w:val="auto"/>
              </w:rPr>
            </w:pP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1,598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1,598</w:t>
            </w:r>
          </w:p>
        </w:tc>
        <w:tc>
          <w:tcPr>
            <w:tcW w:w="0" w:type="dxa"/>
            <w:vAlign w:val="bottom"/>
          </w:tcPr>
          <w:p>
            <w:pPr>
              <w:spacing w:after="0"/>
              <w:rPr>
                <w:sz w:val="1"/>
                <w:szCs w:val="1"/>
                <w:color w:val="auto"/>
              </w:rPr>
            </w:pPr>
          </w:p>
        </w:tc>
      </w:tr>
      <w:tr>
        <w:trPr>
          <w:trHeight w:val="275"/>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(non-employee)</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23"/>
                <w:szCs w:val="23"/>
                <w:color w:val="auto"/>
              </w:rPr>
            </w:pPr>
          </w:p>
        </w:tc>
        <w:tc>
          <w:tcPr>
            <w:tcW w:w="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65"/>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(ESPP)</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23"/>
                <w:szCs w:val="23"/>
                <w:color w:val="auto"/>
              </w:rPr>
            </w:pP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23"/>
                <w:szCs w:val="23"/>
                <w:color w:val="auto"/>
              </w:rPr>
            </w:pPr>
          </w:p>
        </w:tc>
        <w:tc>
          <w:tcPr>
            <w:tcW w:w="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(1,917)</w:t>
            </w:r>
          </w:p>
        </w:tc>
        <w:tc>
          <w:tcPr>
            <w:tcW w:w="0" w:type="dxa"/>
            <w:vAlign w:val="bottom"/>
          </w:tcPr>
          <w:p>
            <w:pPr>
              <w:spacing w:after="0"/>
              <w:rPr>
                <w:sz w:val="1"/>
                <w:szCs w:val="1"/>
                <w:color w:val="auto"/>
              </w:rPr>
            </w:pPr>
          </w:p>
        </w:tc>
      </w:tr>
      <w:tr>
        <w:trPr>
          <w:trHeight w:val="242"/>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2019</w:t>
            </w:r>
          </w:p>
        </w:tc>
        <w:tc>
          <w:tcPr>
            <w:tcW w:w="10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41,509</w:t>
            </w:r>
          </w:p>
        </w:tc>
        <w:tc>
          <w:tcPr>
            <w:tcW w:w="12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42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319,733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(236,003)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83,772</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1920" w:type="dxa"/>
            <w:vAlign w:val="bottom"/>
            <w:gridSpan w:val="3"/>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5"/>
                <w:szCs w:val="15"/>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5"/>
                <w:szCs w:val="15"/>
                <w:color w:val="auto"/>
              </w:rPr>
            </w:pPr>
          </w:p>
        </w:tc>
        <w:tc>
          <w:tcPr>
            <w:tcW w:w="10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4"/>
        </w:trPr>
        <w:tc>
          <w:tcPr>
            <w:tcW w:w="5460" w:type="dxa"/>
            <w:vAlign w:val="bottom"/>
          </w:tcPr>
          <w:p>
            <w:pPr>
              <w:spacing w:after="0"/>
              <w:rPr>
                <w:sz w:val="10"/>
                <w:szCs w:val="10"/>
                <w:color w:val="auto"/>
              </w:rPr>
            </w:pPr>
          </w:p>
        </w:tc>
        <w:tc>
          <w:tcPr>
            <w:tcW w:w="11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center"/>
              <w:ind w:right="88"/>
              <w:spacing w:after="0" w:line="124"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5"/>
        </w:trPr>
        <w:tc>
          <w:tcPr>
            <w:tcW w:w="54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10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2017</w:t>
            </w:r>
          </w:p>
        </w:tc>
        <w:tc>
          <w:tcPr>
            <w:tcW w:w="10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34,210</w:t>
            </w:r>
          </w:p>
        </w:tc>
        <w:tc>
          <w:tcPr>
            <w:tcW w:w="120" w:type="dxa"/>
            <w:vAlign w:val="bottom"/>
          </w:tcPr>
          <w:p>
            <w:pPr>
              <w:spacing w:after="0"/>
              <w:rPr>
                <w:sz w:val="21"/>
                <w:szCs w:val="21"/>
                <w:color w:val="auto"/>
              </w:rPr>
            </w:pPr>
          </w:p>
        </w:tc>
        <w:tc>
          <w:tcPr>
            <w:tcW w:w="760" w:type="dxa"/>
            <w:vAlign w:val="bottom"/>
            <w:tcBorders>
              <w:top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99"/>
              </w:rPr>
              <w:t>34</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248,278</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(211,087)</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37,225</w:t>
            </w:r>
          </w:p>
        </w:tc>
        <w:tc>
          <w:tcPr>
            <w:tcW w:w="0" w:type="dxa"/>
            <w:vAlign w:val="bottom"/>
          </w:tcPr>
          <w:p>
            <w:pPr>
              <w:spacing w:after="0"/>
              <w:rPr>
                <w:sz w:val="1"/>
                <w:szCs w:val="1"/>
                <w:color w:val="auto"/>
              </w:rPr>
            </w:pPr>
          </w:p>
        </w:tc>
      </w:tr>
      <w:tr>
        <w:trPr>
          <w:trHeight w:val="275"/>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on exercise of stock options and vesting of restricted stock units</w:t>
            </w:r>
          </w:p>
        </w:tc>
        <w:tc>
          <w:tcPr>
            <w:tcW w:w="10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265"/>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 (ESPP)</w:t>
            </w: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397</w:t>
            </w:r>
          </w:p>
        </w:tc>
        <w:tc>
          <w:tcPr>
            <w:tcW w:w="0" w:type="dxa"/>
            <w:vAlign w:val="bottom"/>
          </w:tcPr>
          <w:p>
            <w:pPr>
              <w:spacing w:after="0"/>
              <w:rPr>
                <w:sz w:val="1"/>
                <w:szCs w:val="1"/>
                <w:color w:val="auto"/>
              </w:rPr>
            </w:pPr>
          </w:p>
        </w:tc>
      </w:tr>
      <w:tr>
        <w:trPr>
          <w:trHeight w:val="275"/>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portion of vested restricted stock units</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65"/>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(employee)</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23"/>
                <w:szCs w:val="23"/>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1,083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1,083</w:t>
            </w:r>
          </w:p>
        </w:tc>
        <w:tc>
          <w:tcPr>
            <w:tcW w:w="0" w:type="dxa"/>
            <w:vAlign w:val="bottom"/>
          </w:tcPr>
          <w:p>
            <w:pPr>
              <w:spacing w:after="0"/>
              <w:rPr>
                <w:sz w:val="1"/>
                <w:szCs w:val="1"/>
                <w:color w:val="auto"/>
              </w:rPr>
            </w:pPr>
          </w:p>
        </w:tc>
      </w:tr>
      <w:tr>
        <w:trPr>
          <w:trHeight w:val="275"/>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(non-employee)</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65"/>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(ESPP)</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23"/>
                <w:szCs w:val="23"/>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275"/>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Legal settlement from short-swing profits, net of tax</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310</w:t>
            </w:r>
          </w:p>
        </w:tc>
        <w:tc>
          <w:tcPr>
            <w:tcW w:w="0" w:type="dxa"/>
            <w:vAlign w:val="bottom"/>
          </w:tcPr>
          <w:p>
            <w:pPr>
              <w:spacing w:after="0"/>
              <w:rPr>
                <w:sz w:val="1"/>
                <w:szCs w:val="1"/>
                <w:color w:val="auto"/>
              </w:rPr>
            </w:pPr>
          </w:p>
        </w:tc>
      </w:tr>
      <w:tr>
        <w:trPr>
          <w:trHeight w:val="265"/>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23"/>
                <w:szCs w:val="23"/>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(9,177)</w:t>
            </w:r>
          </w:p>
        </w:tc>
        <w:tc>
          <w:tcPr>
            <w:tcW w:w="0" w:type="dxa"/>
            <w:vAlign w:val="bottom"/>
          </w:tcPr>
          <w:p>
            <w:pPr>
              <w:spacing w:after="0"/>
              <w:rPr>
                <w:sz w:val="1"/>
                <w:szCs w:val="1"/>
                <w:color w:val="auto"/>
              </w:rPr>
            </w:pPr>
          </w:p>
        </w:tc>
      </w:tr>
      <w:tr>
        <w:trPr>
          <w:trHeight w:val="242"/>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2018</w:t>
            </w:r>
          </w:p>
        </w:tc>
        <w:tc>
          <w:tcPr>
            <w:tcW w:w="10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34,327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99"/>
              </w:rPr>
              <w:t>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250,238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30,008</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400"/>
          </w:cols>
          <w:pgMar w:left="240" w:top="11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118" w:right="259" w:bottom="1440" w:gutter="0" w:footer="0" w:header="0"/>
          <w:type w:val="continuous"/>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3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on end-of-term debt obligation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Supplies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Right-of-use assets - operating lease and operating lease liability</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liabilities and deferred rent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 of long-term debt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legal settlement regarding short-swing profits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 of finance lease liability</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the exercise of common stock options and employee stock purchases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78,598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34,494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68,444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27,755</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Supplementary cash flow information of non-cash investing and financing activities:</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liability arising from obtaining right-of-use assets - operating lease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14,118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liabilities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paid on debt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7"/>
        </w:trPr>
        <w:tc>
          <w:tcPr>
            <w:tcW w:w="8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8" w:right="239" w:bottom="1440" w:gutter="0" w:footer="0" w:header="0"/>
          <w:type w:val="continuous"/>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r>
        <w:rPr>
          <w:rFonts w:ascii="Times New Roman" w:cs="Times New Roman" w:eastAsia="Times New Roman" w:hAnsi="Times New Roman"/>
          <w:sz w:val="18"/>
          <w:szCs w:val="18"/>
          <w:color w:val="auto"/>
        </w:rPr>
        <w: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67,841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77,995</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603</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68,444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78,598</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Veracyte, Inc. (“Veracyte” or the “Company”) is a leading genomic diagnostics company that is creating value through innovation. The Company was founded in 2008 with a mission to improve diagnostic accuracy. Today, through its innovative scientific platform, Veracyte is serving this critical medical need and expanding its offerings further along the clinical continuum of care to advance early detection of disease and inform treatment decisions. The Company utilizes its scientific platform, which uses RNA whole-transcriptome sequencing combined with machine learning, to discover and develop its products.</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Veracyte was incorporated in the state of Delaware on August 15, 2006 as Calderome, Inc. Calderome operated as an incubator until early 2008. On March 4, 2008, the Company changed its name to Veracyte, Inc. The Company’s operations are based in South San Francisco, California and Austin, Texas, and it operates in one segment.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currently offers the following products in three clinical indications:</w:t>
      </w:r>
    </w:p>
    <w:p>
      <w:pPr>
        <w:spacing w:after="0" w:line="225"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Afirma Genomic Sequencing Classifier ("GSC") and Xpression Atlas - The Company’s Afirma offering, consisting of the Afirma GSC and the Afirma Xpression Atlas, provides a comprehensive solution in thyroid nodule diagnosis and is intended to provide physicians with clinically actionable results from a single fine needle aspiration ("FNA") biopsy. The Afirma GSC is used to identify patients with benign thyroid nodules among those with indeterminate cytopathology results so that these patients can avoid unnecessary thyroid surgery. The Afirma Xpression Atlas provides genomic alteration content from the same test to help physicians decide with greater confidence on surgery strategy and treatment options for their patients.</w:t>
      </w:r>
    </w:p>
    <w:p>
      <w:pPr>
        <w:spacing w:after="0" w:line="188" w:lineRule="exact"/>
        <w:rPr>
          <w:sz w:val="20"/>
          <w:szCs w:val="20"/>
          <w:color w:val="auto"/>
        </w:rPr>
      </w:pPr>
    </w:p>
    <w:p>
      <w:pPr>
        <w:jc w:val="both"/>
        <w:ind w:left="980" w:right="20"/>
        <w:spacing w:after="0" w:line="261" w:lineRule="auto"/>
        <w:rPr>
          <w:sz w:val="20"/>
          <w:szCs w:val="20"/>
          <w:color w:val="auto"/>
        </w:rPr>
      </w:pPr>
      <w:r>
        <w:rPr>
          <w:rFonts w:ascii="Times New Roman" w:cs="Times New Roman" w:eastAsia="Times New Roman" w:hAnsi="Times New Roman"/>
          <w:sz w:val="18"/>
          <w:szCs w:val="18"/>
          <w:color w:val="auto"/>
        </w:rPr>
        <w:t>Percepta Bronchial Genomic Classifier - The Percepta classifier improves lung cancer diagnosis by enhancing the performance of diagnostic bronchoscopies, thus identifying more patients with lung nodules who are at low risk of cancer and may avoid further, invasive procedures. The test is built upon foundational "field of injury" science - through which genomic changes associated with lung cancer in current and former smokers can be identified with a simple brushing of a person's airway - without the need to sample the often hard-to-reach nodule directly.</w:t>
      </w:r>
    </w:p>
    <w:p>
      <w:pPr>
        <w:spacing w:after="0" w:line="180"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Envisia Genomic Classifier - The Envisia classifier improves diagnosis of idiopathic pulmonary fibrosis ("IPF") by helping physicians better differentiate IPF from other interstitial lung diseases without the need for surgery. The test identifies the genomic pattern of usual interstitial pneumonia, a hallmark of IPF, with high accuracy on patient samples that are obtained through transbronchial biopsy, a nonsurgical procedure that is commonly used in lung evaluation.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approach also provides multiple opportunities for partnerships with biopharmaceutical companies. In developing its products, the Company has built or gained access to unique biorepositories that include extensive clinical cohorts and whole genome RNA sequencing data that it believes are important to the development of new targeted therapies, determining clinical trial eligibility and guiding treatment selection.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of the Company's testing services are made available through its clinical reference laboratories located in South San Francisco, California and Austin, Texas.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financial statements have been prepared in accordance with accounting principles generally accepted in the United States, or GAAP. Certain information and note disclosures normally included in financial statements prepared in accordance with GAAP have been condensed or omitted pursuant to such rules and regulations. The condensed balance sheet as of March 31, 2019, the condensed statements of operations and comprehensive loss for the three months ended March 31, 2019 and 2018, the condensed statements of stockholders' equity for the three months ended March 31, 2019 and 2018, and the condensed statements of cash flows for the three months ended March 31, 2019 and 2018 are unaudited, but include all adjustments, consisting only of normal recurring adjustments, which the Company considers necessary for a fair presentation of its financial position, operating results and cash flows for the periods presented. The condensed balance sheet at December 31, 2018 has been derived from audited financial statements. The results for the three months ended March 31, 2019 are not necessarily indicative of the results expected for the full year or any other period.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accompanying interim period condensed financial statements and related financial information included in this Quarterly Report on Form 10-Q should be read in conjunction with the audited financial statements and notes thereto included in the Company’s Annual Report on Form 10-K for the year ended December 31,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unaudited interim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items subject to such estimates include: revenue recognition; the useful lives of property and equipment; the recoverability of long-lived assets; the incremental borrowing rate for leases; the estimation of the fair value of intangible assets; stock options; income tax uncertainties, including a valuation allowance for deferred tax assets;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Common Stock in a Public Offering</w:t>
      </w:r>
    </w:p>
    <w:p>
      <w:pPr>
        <w:spacing w:after="0" w:line="22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 July 2018, the Company issued and sold 5,750,000 shares of common stock in a registered public offering, including the underwriters' exercise in full of their option to purchase an additional 750,000 shares, at a price to the public of $10.25 per share. The Company's net proceeds from the offering were approximately $55.0 million, after deducting underwriting commissions and offering expenses of $3.9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Other Risks and Uncertainties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majority of the Company’s cash and cash equivalents are deposited with one major financial institution in the United States. Deposits in this institution may exceed the amount of insurance provided on such deposits. The Company has not experienced any losses on its deposits of cash and cash equivalents.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Several of the components of the Company’s sample collection kit and test reagents are obtained from single-source suppliers. If these single-source suppliers fail to satisfy the Company’s requirements on a timely basis, it could suffer delays in being able to deliver its diagnostic solutions, a possible loss of revenue, or incur higher costs, any of which could adversely affect its operating results.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also subject to credit risk from its accounts receivable related to its sales. The Company generally does not perform evaluations of customers’ financial condition and generally does not require collateral.</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Through March 31, 2019, most of the Company’s revenue has been derived from the sale of Afirma. To date, Afirma has been delivered primarily to physicians in the United States. The Company’s third-party payers in excess of 10% of revenue and their related revenue as a percentage of total revenue were as follows: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60" w:type="dxa"/>
            <w:vAlign w:val="bottom"/>
          </w:tcPr>
          <w:p>
            <w:pPr>
              <w:spacing w:after="0"/>
              <w:rPr>
                <w:sz w:val="16"/>
                <w:szCs w:val="16"/>
                <w:color w:val="auto"/>
              </w:rPr>
            </w:pPr>
          </w:p>
        </w:tc>
        <w:tc>
          <w:tcPr>
            <w:tcW w:w="3160" w:type="dxa"/>
            <w:vAlign w:val="bottom"/>
            <w:tcBorders>
              <w:bottom w:val="single" w:sz="8" w:color="auto"/>
            </w:tcBorders>
            <w:gridSpan w:val="3"/>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16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Medicare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UnitedHealthcare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81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8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28, 2018, the Company entered into a diagnostics development agreement with Johnson &amp; Johnson Services, Inc. ("JJSI") for which the Company recognized $3.8 million of revenue for the provision of data, which represents 12.9% of total revenue for the three months ended March 31, 2019.</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third-party payers in excess of 10% of accounts receivable and their related accounts receivable balance as a percentage of total accounts receivable were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112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95"/>
        </w:trPr>
        <w:tc>
          <w:tcPr>
            <w:tcW w:w="8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9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Medicare</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9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UnitedHealthcare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had deposits of $603,000 included in long-term assets as of March 31, 2019 and December 31, 2018, restricted from withdrawal and held by a bank in the form of collateral for an irrevocable standby letter of credit held as security for the lease of the Company’s South San Francisco facility.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Company commenced recognizing revenue in accordance with the provisions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or ASC 606, starting January 1, 2018. Prior to January 1, 2018, the Company recognized revenue in accordance with the provisions of ASC 954-605, </w:t>
      </w:r>
      <w:r>
        <w:rPr>
          <w:rFonts w:ascii="Times New Roman" w:cs="Times New Roman" w:eastAsia="Times New Roman" w:hAnsi="Times New Roman"/>
          <w:sz w:val="18"/>
          <w:szCs w:val="18"/>
          <w:i w:val="1"/>
          <w:iCs w:val="1"/>
          <w:color w:val="auto"/>
        </w:rPr>
        <w:t>Health Care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Entities - Revenue Recognition</w:t>
      </w:r>
      <w:r>
        <w:rPr>
          <w:rFonts w:ascii="Times New Roman" w:cs="Times New Roman" w:eastAsia="Times New Roman" w:hAnsi="Times New Roman"/>
          <w:sz w:val="18"/>
          <w:szCs w:val="18"/>
          <w:color w:val="auto"/>
        </w:rPr>
        <w:t>, or ASC 954.</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Revenue from Diagnostic Services</w:t>
      </w:r>
    </w:p>
    <w:p>
      <w:pPr>
        <w:spacing w:after="0" w:line="229"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Most of the Company’s revenue is generated from the provision of diagnostic services. These services are completed upon the delivery of test results to the prescribing physician, at which time the Company bills for the services. The Company recognizes revenue related to billings based on estimates of the amount that will ultimately be realized. In determining the amount to accrue for a delivered test, the Company considers factors such as payment history, payer coverage, whether there is a reimbursement contract between the payer and the Company, payment as a percentage of agreed upon rate (if applicable), amount paid per test and any current developments or changes that could impact reimbursement. These estimates require significant judgment by management.</w:t>
      </w:r>
    </w:p>
    <w:p>
      <w:pPr>
        <w:spacing w:after="0" w:line="188"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The Company adopted ASC 606 on January 1, 2018 using the modified retrospective method, which requires a cumulative catch-up adjustment as if the Company had recognized revenue under ASC 606 from January 1, 2016. Prior to January 1, 2018, the Company recognized revenue in accordance with ASC 954 and recognized revenue for tests delivered on an accrual basis when amounts that will ultimately be realized could be reasonably estimated, and on the cash basis when there was insufficient information to estimate revenue accruals. The adoption of ASC 606 did not have a material impact on the Company's statement of operations or financial position.</w:t>
      </w:r>
    </w:p>
    <w:p>
      <w:pPr>
        <w:spacing w:after="0" w:line="184"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2019, the Company changed its revenue estimates due to actual and anticipated cash collections for tests delivered in prior quarters and recognized additional revenue of $0.6 million, of which $0.4 million had been collected as of March 31, 2019. This resulted in a decrease in the Company's loss from operations of $0.6 million and a decrease in loss per share of $0.02 for the three months ended March 31, 2019.</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Arrangements with Multiple-Performance Obligations</w:t>
      </w:r>
    </w:p>
    <w:p>
      <w:pPr>
        <w:spacing w:after="0" w:line="229"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enters into arrangements for research and development and/or commercialization services. Such arrangements may require the Company to deliver various rights, services and/or samples, including intellectual property rights/licenses, R&amp;D services, and/or commercialization services. The underlying terms of these arrangements generally provide for consideration to the Company in the form of nonrefundable upfront license fees, development and commercial performance milestone payments, royalty payments, and/or profit sharing.</w:t>
      </w:r>
    </w:p>
    <w:p>
      <w:pPr>
        <w:spacing w:after="0" w:line="180"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In arrangements involving more than one performance obligation,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the Company's best estimate of what the selling price would be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if the deliverable was regularly sold by the Company on a stand-alone basis or using an adjusted market assessment approach if selling price on a stand-alone basis is not available.</w:t>
      </w:r>
    </w:p>
    <w:p>
      <w:pPr>
        <w:spacing w:after="0" w:line="16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The consideration allocated to each distinct performance obligation is recognized as revenue when control of the related goods or services is transferred. Consideration associated with at-risk substantive performance milestones is recognized as revenue when it is probable that a significant reversal of the cumulative revenue recognized will not occur. Should there be royalties, the Company utilizes the sales and usage-based royalty exception in arrangements that resulted from the license of intellectual property, recognizing revenues generated from royalties or profit sharing as the underlying sales occur.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Collaborative Arrangements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enters into collaborative arrangements with partners that fall under the scope of ASC Topic 808,</w:t>
      </w:r>
    </w:p>
    <w:p>
      <w:pPr>
        <w:spacing w:after="0" w:line="27"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or ASC 808. While these arrangements are in the scope of ASC 808, the Company may analogize to ASC 606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some aspects of the arrangements. The Company analogizes to ASC 606 for certain activities</w:t>
      </w:r>
    </w:p>
    <w:p>
      <w:pPr>
        <w:spacing w:after="0" w:line="1" w:lineRule="exact"/>
        <w:rPr>
          <w:sz w:val="20"/>
          <w:szCs w:val="20"/>
          <w:color w:val="auto"/>
        </w:rPr>
      </w:pPr>
    </w:p>
    <w:p>
      <w:pPr>
        <w:ind w:left="660" w:right="1960"/>
        <w:spacing w:after="0" w:line="261" w:lineRule="auto"/>
        <w:rPr>
          <w:sz w:val="20"/>
          <w:szCs w:val="20"/>
          <w:color w:val="auto"/>
        </w:rPr>
      </w:pPr>
      <w:r>
        <w:rPr>
          <w:rFonts w:ascii="Times New Roman" w:cs="Times New Roman" w:eastAsia="Times New Roman" w:hAnsi="Times New Roman"/>
          <w:sz w:val="18"/>
          <w:szCs w:val="18"/>
          <w:color w:val="auto"/>
        </w:rPr>
        <w:t>within the collaborative arrangement for the delivery of a good or service (i.e., a unit of account) that is part of its ongoing major or central operations.</w:t>
      </w:r>
    </w:p>
    <w:p>
      <w:pPr>
        <w:spacing w:after="0" w:line="180" w:lineRule="exact"/>
        <w:rPr>
          <w:sz w:val="20"/>
          <w:szCs w:val="20"/>
          <w:color w:val="auto"/>
        </w:rPr>
      </w:pPr>
    </w:p>
    <w:p>
      <w:pPr>
        <w:jc w:val="both"/>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The terms of the Company’s collaborative arrangements typically include one or more of the following: (i) up-front fees; (ii) milestone payments related to the achievement of development, regulatory, or commercial goals; and (iii) royalties on net sales of licensed products. Each of these payments may result in collaboration revenues or an offset against research and development expense.</w:t>
      </w:r>
    </w:p>
    <w:p>
      <w:pPr>
        <w:spacing w:after="0" w:line="176"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As part of the accounting for these arrangements, the Company must develop estimates and assumptions that require judgment to determine the underlying stand-alone selling price for each performance obligation which determines how the transaction price is allocated among the performance obligations. Generally, the estimation of the stand-alone selling price may include such estimates as, independent evidence of market price, forecasted revenues or costs, development timelines, discount rates, and probabilities of technical and regulatory success. The Company evaluates each performance obligation to determine if they can be satisfied at a point in time or over time, and it measures the services delivered to the collaborative partner which are periodically reviewed based on the progress of the related program. The effect of any change made to an estimated input component and, therefore revenue or expense recognized, would be recorded as a change in estimate. In addition, variable consideration (e.g., milestone payments) must be evaluated to determine if it is constrained and, therefore, excluded from the transaction price.</w:t>
      </w:r>
    </w:p>
    <w:p>
      <w:pPr>
        <w:spacing w:after="0" w:line="183" w:lineRule="exact"/>
        <w:rPr>
          <w:sz w:val="20"/>
          <w:szCs w:val="20"/>
          <w:color w:val="auto"/>
        </w:rPr>
      </w:pPr>
    </w:p>
    <w:p>
      <w:pPr>
        <w:jc w:val="both"/>
        <w:ind w:left="66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Up-front Fees: </w:t>
      </w:r>
      <w:r>
        <w:rPr>
          <w:rFonts w:ascii="Times New Roman" w:cs="Times New Roman" w:eastAsia="Times New Roman" w:hAnsi="Times New Roman"/>
          <w:sz w:val="18"/>
          <w:szCs w:val="18"/>
          <w:color w:val="auto"/>
        </w:rPr>
        <w:t>If a license to the Company’s intellectual property is determined to be distinct from the other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identified in the arrangement, the Company recognizes revenues from the transaction price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w:t>
      </w:r>
    </w:p>
    <w:p>
      <w:pPr>
        <w:spacing w:after="0" w:line="180"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milestone payments (variable consideration),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or the collaborative partner’s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its or the collaborative partner’s control, such as operational developmental milestones and any related constraint, and if necessary, adjusts its estimate of the overall transaction price. Any such adjustments are recorded on a cumulative catch-up basis, which would affect collaboration revenues and earnings in the period of adjustment. Revisions to the Company’s estimate of the transaction price may also result in negative collaboration revenues and earnings in the period of adjustment.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Services Agreement with Loxo Oncology</w:t>
      </w:r>
    </w:p>
    <w:p>
      <w:pPr>
        <w:spacing w:after="0" w:line="229"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On April 9, 2018, the Company entered into an agreement with Loxo Oncology, Inc. ("Loxo") whereby the Company agreed to provide certain tissue samples and other services in exchange for agreed-upon fees. The agreement has a term of one year with an automatic renewal of one year and Loxo may terminate the agreement at any time with at least 90 days' notice. The Company evaluated the accounting for this agreement under ASC 606 and concluded the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performance obligations thereunder are the delivery of tissue samples and performance of services, both of which are distinct. For the three months ended March 31, 2019, the Company recognized revenue of $90,000 for the delivery of tissue samples and $250,000 for the performance of services. There was no deferred revenue related to this agreement at either March 31, 2019 or December 31, 2018.</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Diagnostic Development Agreement with Johnson &amp; Johnson</w:t>
      </w:r>
    </w:p>
    <w:p>
      <w:pPr>
        <w:spacing w:after="0" w:line="229"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On December 28, 2018, the Company entered into a diagnostics development agreement with JJSI (i) to cooperate on a program to enable the Company to use JJSI samples and clinical data to develop a next generation bronchial genomic classifier diagnostic for lung cancer diagnosis (“Percepta v.2") and a nasal genomic classifier diagnostic for lung cancer (“NasaRISK”) and (ii) for JJSI to use Veracyte data generated in two Veracyte development programs for therapeutic purposes and for purposes of developing a companion diagnostic product used in conjunction with a JJSI therapeutic. The Company granted a license to JJSI with the right to use data and under the Company's intellectual property rights for JJSI's therapeutic purposes, including the development and commercialization of a companion diagnostic for its products, from the Percepta v.2 and NasaRISK programs. The license granted to JJSI is not distinct from other performance obligations as JJSI receives benefit only when other performance obligations are met.</w:t>
      </w:r>
    </w:p>
    <w:p>
      <w:pPr>
        <w:spacing w:after="0" w:line="185"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The Company will provide data from its RNA whole-transcriptome sequencing platform to JJSI in exchange for $7.0 million in payments from JJSI. The Company is also entitled to additional payments from JJSI of up to $13.0 million, conditioned upon the achievement of certain milestones relating to the development and reimbursement of Percepta v.2 and NasaRISK. For a period of ten years commencing with the first commercial sale of Percepta v.2 and NasaRISK, respectively, the Company will make payments to JJSI of one percent of net cash collections for Percepta v.2 and in the low-single digits of net cash collections for NasaRISK, depending on the number and timing of JJSI samples and associated clinical data the Company receives from JJSI.</w:t>
      </w:r>
    </w:p>
    <w:p>
      <w:pPr>
        <w:spacing w:after="0" w:line="188"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The JJSI agreement is considered to be within the scope of ASC 808, as the parties are active participants and exposed to the risks and rewards of the collaborative activity. The Company evaluated the terms of the JJSI agreement and has analogized to ASC 606 for the delivery of data from its RNA whole-transcriptome sequencing platform to JJSI under the collaborative arrangement, which the Company believes is a distinct service for which JJSI meets the definition of a customer. Using the concepts of ASC 606, the Company has identified the delivery of data as its only performance obligation. The Company further determined that the transaction price under the arrangement was the $7.0 million in payments which was allocated to the obligation to deliver data. The $13.0 million in future potential payments is considered variable consideration because the Company determined that the potential payments are contingent upon regulatory and commercialization milestones that are uncertain to occur and, as such, were not included in the transaction price, and will be recognized accordingly as each potential payment becomes probable.</w:t>
      </w:r>
    </w:p>
    <w:p>
      <w:pPr>
        <w:spacing w:after="0" w:line="18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2019, the Company received $5.0 million from JJSI and recognized $3.8 million for the provision of data. The remaining $1.2 million balance is recorded as deferred revenue under accrued liabilities on the Company's condensed balance sheet as of March 31, 2019 and will be recognized as data is delivered and the related performance obligation is satisfied.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Settlement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2018, the Company received $0.4 million as a settlement with an institutional investor that was a beneficial owner of the Company's common stock related to the disgorgement of short-swing profits pursuant to Section 16(b) of the Securities Exchange Act of 1934, as amended. The settlement of $0.4 million was recognized as additional paid-in capital.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This ASU is aimed at making leasing activities more transparent and comparable, and requires substantially all leases be recognized by lessees on their balance sheet as a right-of-use asset and corresponding lease liability, including leases currently accounted for as operating leases. The ASU is effective for interim and annual periods beginning after December 15, 2018. Additionally, the FASB issued ASU No. 2018-11, </w:t>
      </w:r>
      <w:r>
        <w:rPr>
          <w:rFonts w:ascii="Times New Roman" w:cs="Times New Roman" w:eastAsia="Times New Roman" w:hAnsi="Times New Roman"/>
          <w:sz w:val="18"/>
          <w:szCs w:val="18"/>
          <w:i w:val="1"/>
          <w:iCs w:val="1"/>
          <w:color w:val="auto"/>
        </w:rPr>
        <w:t>Leases (Topic 842): Targeted Improvements</w:t>
      </w:r>
      <w:r>
        <w:rPr>
          <w:rFonts w:ascii="Times New Roman" w:cs="Times New Roman" w:eastAsia="Times New Roman" w:hAnsi="Times New Roman"/>
          <w:sz w:val="18"/>
          <w:szCs w:val="18"/>
          <w:color w:val="auto"/>
        </w:rPr>
        <w:t>, which offers an additional transition method whereby entities may apply the new leases standard at the adoption date and recognize a cumulative-effect adjustment to the opening balance of retained earnings rather than application of the new leases standard at the beginning of the earliest period presented in the financial statements. The Company elected this transition method and adopted ASC 842 on January 1, 2019 and as a result, recorded operating lease right-of-use ("ROU") assets of $9.8 million, including offsetting deferred rent of $4.3 million, along with the associated operating lease liabilities of $14.1 million. On January 1, 2019, the Company had a finance lease ROU of $0.8 million and associated finance lease liabilities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 $0.3 million for leases classified as finance leases prior to the adoption of ASC 842. The adoption of ASC 842 had an immaterial impact on the Company's condensed statement of operations and comprehensive loss, condensed statement of stockholders' equity and condensed statement of cash flows for the three-month period ended March 31, 2019. In addition, the Company elected the package of practical expedients permitted under the transition guidance within the new standard which allowed it to carry forward the historical lease classification. Additional information and disclosures required by this new standard are contained in Note 5, Commitments and Contingencies.</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November 2018, the FASB issued ASU No. 2018-18, </w:t>
      </w:r>
      <w:r>
        <w:rPr>
          <w:rFonts w:ascii="Times New Roman" w:cs="Times New Roman" w:eastAsia="Times New Roman" w:hAnsi="Times New Roman"/>
          <w:sz w:val="18"/>
          <w:szCs w:val="18"/>
          <w:i w:val="1"/>
          <w:iCs w:val="1"/>
          <w:color w:val="auto"/>
        </w:rPr>
        <w:t>Collaborative Arrangements (Topic 808).</w:t>
      </w:r>
      <w:r>
        <w:rPr>
          <w:rFonts w:ascii="Times New Roman" w:cs="Times New Roman" w:eastAsia="Times New Roman" w:hAnsi="Times New Roman"/>
          <w:sz w:val="18"/>
          <w:szCs w:val="18"/>
          <w:color w:val="auto"/>
        </w:rPr>
        <w:t xml:space="preserve"> Under this ASU, transactions in collaborative arrangements are to be accounted for under ASC 606 if the counterparty is a customer for a good or service (or bundle of goods and services) that is a distinct unit of account. Also, entities are precluded from presenting consideration from transactions with a counterparty that is not a customer together with revenue recognized from ASC 606. This ASU is effective for all interim and annual reporting periods beginning on or after December 15, 2019, with early adoption permitted. The Company is currently evaluating the potential effect of this standard on its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Net Loss Per Common Share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The following outstanding common stock equivalents have been excluded from diluted net loss per common share because their inclusion would be anti-dilutive:</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700" w:type="dxa"/>
            <w:vAlign w:val="bottom"/>
          </w:tcPr>
          <w:p>
            <w:pPr>
              <w:spacing w:after="0"/>
              <w:rPr>
                <w:sz w:val="16"/>
                <w:szCs w:val="16"/>
                <w:color w:val="auto"/>
              </w:rPr>
            </w:pPr>
          </w:p>
        </w:tc>
        <w:tc>
          <w:tcPr>
            <w:tcW w:w="2600" w:type="dxa"/>
            <w:vAlign w:val="bottom"/>
            <w:tcBorders>
              <w:bottom w:val="single" w:sz="8" w:color="auto"/>
            </w:tcBorders>
            <w:gridSpan w:val="3"/>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7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of common stock subject to outstanding options</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5,670,819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5,991,158</w:t>
            </w:r>
          </w:p>
        </w:tc>
      </w:tr>
      <w:tr>
        <w:trPr>
          <w:trHeight w:val="24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25,672</w:t>
            </w:r>
          </w:p>
        </w:tc>
        <w:tc>
          <w:tcPr>
            <w:tcW w:w="1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25,693</w:t>
            </w:r>
          </w:p>
        </w:tc>
      </w:tr>
      <w:tr>
        <w:trPr>
          <w:trHeight w:val="27"/>
        </w:trPr>
        <w:tc>
          <w:tcPr>
            <w:tcW w:w="8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stock units</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538,759</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192,806</w:t>
            </w:r>
          </w:p>
        </w:tc>
      </w:tr>
      <w:tr>
        <w:trPr>
          <w:trHeight w:val="257"/>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common stock equivalents</w:t>
            </w:r>
          </w:p>
        </w:tc>
        <w:tc>
          <w:tcPr>
            <w:tcW w:w="12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6,235,250</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6,209,657</w:t>
            </w:r>
          </w:p>
        </w:tc>
      </w:tr>
      <w:tr>
        <w:trPr>
          <w:trHeight w:val="20"/>
        </w:trPr>
        <w:tc>
          <w:tcPr>
            <w:tcW w:w="8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Accrued Liabilities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8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 of dollars):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6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24"/>
                <w:szCs w:val="24"/>
                <w:color w:val="auto"/>
              </w:rPr>
            </w:pPr>
          </w:p>
        </w:tc>
        <w:tc>
          <w:tcPr>
            <w:tcW w:w="126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160" w:type="dxa"/>
            <w:vAlign w:val="bottom"/>
            <w:tcBorders>
              <w:bottom w:val="single" w:sz="8" w:color="CCEEFF"/>
            </w:tcBorders>
          </w:tcPr>
          <w:p>
            <w:pPr>
              <w:spacing w:after="0"/>
              <w:rPr>
                <w:sz w:val="16"/>
                <w:szCs w:val="16"/>
                <w:color w:val="auto"/>
              </w:rPr>
            </w:pPr>
          </w:p>
        </w:tc>
        <w:tc>
          <w:tcPr>
            <w:tcW w:w="8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compensation expenses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4,951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6,412</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Accrued other</w:t>
            </w:r>
          </w:p>
        </w:tc>
        <w:tc>
          <w:tcPr>
            <w:tcW w:w="26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3,837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2,774</w:t>
            </w:r>
          </w:p>
        </w:tc>
        <w:tc>
          <w:tcPr>
            <w:tcW w:w="0" w:type="dxa"/>
            <w:vAlign w:val="bottom"/>
          </w:tcPr>
          <w:p>
            <w:pPr>
              <w:spacing w:after="0"/>
              <w:rPr>
                <w:sz w:val="1"/>
                <w:szCs w:val="1"/>
                <w:color w:val="auto"/>
              </w:rPr>
            </w:pPr>
          </w:p>
        </w:tc>
      </w:tr>
      <w:tr>
        <w:trPr>
          <w:trHeight w:val="27"/>
        </w:trPr>
        <w:tc>
          <w:tcPr>
            <w:tcW w:w="160" w:type="dxa"/>
            <w:vAlign w:val="bottom"/>
            <w:tcBorders>
              <w:bottom w:val="single" w:sz="8" w:color="CCEEFF"/>
            </w:tcBorders>
          </w:tcPr>
          <w:p>
            <w:pPr>
              <w:spacing w:after="0"/>
              <w:rPr>
                <w:sz w:val="2"/>
                <w:szCs w:val="2"/>
                <w:color w:val="auto"/>
              </w:rPr>
            </w:pPr>
          </w:p>
        </w:tc>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60" w:type="dxa"/>
            <w:vAlign w:val="bottom"/>
            <w:tcBorders>
              <w:bottom w:val="single" w:sz="8" w:color="CCEEFF"/>
            </w:tcBorders>
            <w:shd w:val="clear" w:color="auto" w:fill="CCEEFF"/>
          </w:tcPr>
          <w:p>
            <w:pPr>
              <w:spacing w:after="0"/>
              <w:rPr>
                <w:sz w:val="22"/>
                <w:szCs w:val="22"/>
                <w:color w:val="auto"/>
              </w:rPr>
            </w:pPr>
          </w:p>
        </w:tc>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8,788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9,186</w:t>
            </w:r>
          </w:p>
        </w:tc>
        <w:tc>
          <w:tcPr>
            <w:tcW w:w="0" w:type="dxa"/>
            <w:vAlign w:val="bottom"/>
          </w:tcPr>
          <w:p>
            <w:pPr>
              <w:spacing w:after="0"/>
              <w:rPr>
                <w:sz w:val="1"/>
                <w:szCs w:val="1"/>
                <w:color w:val="auto"/>
              </w:rPr>
            </w:pPr>
          </w:p>
        </w:tc>
      </w:tr>
      <w:tr>
        <w:trPr>
          <w:trHeight w:val="20"/>
        </w:trPr>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60" w:type="dxa"/>
            <w:vAlign w:val="bottom"/>
            <w:vMerge w:val="continue"/>
          </w:tcPr>
          <w:p>
            <w:pPr>
              <w:spacing w:after="0"/>
              <w:rPr>
                <w:sz w:val="24"/>
                <w:szCs w:val="24"/>
                <w:color w:val="auto"/>
              </w:rPr>
            </w:pPr>
          </w:p>
        </w:tc>
        <w:tc>
          <w:tcPr>
            <w:tcW w:w="81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carrying value of the Company’s debt approximates its fair value because the interest rate approximates market rates that the Company could obtain for debt with similar terms. The fair value of the Company’s debt is estimated using the net present value of the payments, discounted at an interest rate that is consistent with market interest rates, which is a Level II input.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85" w:lineRule="exact"/>
        <w:rPr>
          <w:sz w:val="20"/>
          <w:szCs w:val="20"/>
          <w:color w:val="auto"/>
        </w:rPr>
      </w:pPr>
    </w:p>
    <w:p>
      <w:pPr>
        <w:ind w:left="5620" w:right="3580" w:hanging="4964"/>
        <w:spacing w:after="0" w:line="814" w:lineRule="auto"/>
        <w:tabs>
          <w:tab w:leader="none" w:pos="97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Inputs which include quoted prices in active markets for identical assets and liabilities; 11</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left="980" w:hanging="324"/>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176"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III: Unobservable inputs that are supported by little or no market activity and that are significant to the fair value of the assets or liabilities.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fair value of the Company’s financial assets includes money market funds and a deposit for the lease of the Company's South San Francisco facility. Money market funds, included in cash and cash equivalents in the accompanying condensed balance sheets, were $67.3 million and $76.6 million as of March 31, 2019 and December 31, 2018, respectively, and are Level I assets as described above. The deposit for the lease, included in restricted cash in the accompanying condensed balance sheets, was $603,000 as of March 31, 2019 and December 31, 2018, and is a Level I asset as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leases its headquarters and laboratory facilities in South San Francisco, California under a non-cancelable lease agreement for approximately 59,000 square feet. The lease began in June 2015 and ends in March 2026 and contains extension of lease term and expansion options. The Company had deposits of $603,000 included in long-term assets as of March 31, 2019 and December 31, 2018, restricted from withdrawal and held by a bank in the form of collateral for an irrevocable standby letter of credit held as security for the lease of the South San Francisco facility.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also leases laboratory and office space in Austin, Texas under a lease that expires in January 2029 and includes options for expansion and early termination in 2025. The Company provided a cash security deposit for this lease of $139,000, included in other assets in the Company’s condensed balance sheets as of March 31, 2019 and December 31, 2018.</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determined its operating lease liabilities for the two operating leases mentioned above using a discount rate of 7.53% based on the rate that the Company would have to pay to borrow on a collateralized basis for a similar lease an amount equal to the lease payments in a similar economic environment. Operating lease liabilities along with the associated right-of-use assets as of March 31, 2019 are disclosed in the accompanying condensed balance sheets. After the adoption of ASC 842, the Company classified its deferred rent for tenant improvements with its operating lease right-of-use assets on the condensed balance sheets.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minimum lease payments under non-cancelable operating leases as of March 31, 2019 are as follows (in thousands of dollars):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1"/>
        </w:trPr>
        <w:tc>
          <w:tcPr>
            <w:tcW w:w="4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Remainder of 2019</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1,671</w:t>
            </w:r>
          </w:p>
        </w:tc>
      </w:tr>
      <w:tr>
        <w:trPr>
          <w:trHeight w:val="243"/>
        </w:trPr>
        <w:tc>
          <w:tcPr>
            <w:tcW w:w="1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8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2,332</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8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2,401</w:t>
            </w:r>
          </w:p>
        </w:tc>
      </w:tr>
      <w:tr>
        <w:trPr>
          <w:trHeight w:val="243"/>
        </w:trPr>
        <w:tc>
          <w:tcPr>
            <w:tcW w:w="1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8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2,472</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8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2,543</w:t>
            </w:r>
          </w:p>
        </w:tc>
      </w:tr>
      <w:tr>
        <w:trPr>
          <w:trHeight w:val="243"/>
        </w:trPr>
        <w:tc>
          <w:tcPr>
            <w:tcW w:w="99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6,841</w:t>
            </w: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82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9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18,260</w:t>
            </w:r>
          </w:p>
        </w:tc>
      </w:tr>
      <w:tr>
        <w:trPr>
          <w:trHeight w:val="20"/>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recognizes operating lease expense on a straight-line basis over the non-cancelable lease period. Operating lease expense was $476,000 for the three months ended March 31, 2019 and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Lease</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entered into a finance lease in December 2016 for $1.2 million of laboratory equipment which ends in December 2019. The Company paid an upfront amount of $330,000 and the present value of the total future minimum lease payments at the inception of the lease was $874,000. As of March 31, 2019, the future minimum lease payments are $238,000 for the remainder of 2019. The interest expense and related amortization of laboratory equipment are recorded in the statements of operations for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nominal amounts. After the adoption of ASC 842, this finance lease remained a finance lease and the Company did not change the discount rate to determine the lease liability nor the amortization life of the related right-of-use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involved in legal proceedings arising in the ordinary course of business. The Company assesses contingencies to determine the degree of probability and range of possible loss for potential accrual in its financial statements. An estimated loss contingency is accrued in the financial statements if it is probable that a liability has been incurred and the amount of the loss can be reasonably estimated. The Company believes there is no litigation pending that could have, either individually or in the aggregate, a material adverse effect on the Company’s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and Security Agreement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November 3, 2017, the Company entered into a loan and security agreement (the "Loan and Security Agreement"), with Silicon Valley Bank. The Loan and Security Agreement allows the Company to borrow up to $35.0 million, with a $25.0 million advance term loan (the "Term Loan Advance"), and a revolving line of credit of up to $10.0 million (the "Revolving Line of Credit"). The Term Loan Advance was advanced upon the closing of the Loan and Security Agreement and was used to pay the outstanding balance of the Company’s existing long-term debt, which was canceled at that date. The Company had not drawn on the Revolving Line of Credit as of March 31, 2019. Borrowings under the Loan and Security Agreement mature on October 1, 2022. Amounts may be borrowed and repaid under the Revolving Line of Credit up until the earliest of full repayment or maturity of the Loan and Security Agreement, termination of the Loan and Security Agreement, or October 1, 2022. In January 2019, the Company prepaid $12.5 million of the principal amount of the Term Loan Advance. This did not trigger any prepayment premium because it was a partial, not full, repayment of the principal amount.</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Term Loan Advance bears interest at a variable rate equal to (i) the thirty-day U.S. London Interbank Offer Rate ("LIBOR") plus (ii) 4.20%, with a minimum rate of 5.43% per annum. Principal amounts outstanding under the Revolving Line of Credit bear interest at a variable rate equal to (i) LIBOR plus (ii) 3.50%, with a minimum rate of 4.70% per annum. The effective interest rate for the Term Loan Advance was 9.39% as of March 31, 2019.</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may prepay the outstanding principal amount under the Term Loan Advance plus accrued and unpaid interest and, if the Term Loan Advance is repaid in full, a prepayment premium. The prepayment premium will be (i) $750,000 if prepayment is made prior to November 3, 2018, (ii) $500,000 if the prepayment is made after November 3, 2018 but on or before November 3, 2019, or (iii) $250,000 if the prepayment is made after November 3, 2019.</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a final payment on the Term Loan Advance in the amount of $1.2 million is due upon the earlier of the maturity date of the Term Loan Advance or its payment in full. The Loan and Security Agreement contains customary representations, warranties, and events of default such as a material adverse change in our business, operations or financial condition, as well as affirmative and negative covenants. The negative covenants include, among other provisions, covenants that limit or restrict the Company's ability to incur liens, make investments, incur indebtedness, merge with or acquire other entities, dispose of assets, make dividends or other distributions to holders of its equity interests, engage in any new line of business, or enter into certain transactions with affiliates, in each case subject to certain exceptions. The Company’s obligations under the Loan and Security Agreement are secured by substantially all of its assets (excluding intellectual property), subject to certain customary exceptions. The Loan and Security Agreement also requires the Company to achieve certain revenue levels tested quarterly on a trailing twelve-month basis. However, failure to maintain the revenue levels will not be considered a default if the sum of the Company’s unrestricted cash and cash equivalents maintained with Silicon Valley Bank and amount available under the Revolving Line of Credit is at least $40.0 million. As of March 31, 2019, the Company was in compliance with the loan covenants.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2019, the net debt obligation for borrowings made under the Loan and Security Agreement was as follows (in thousands of dollars):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40" w:type="dxa"/>
            <w:vAlign w:val="bottom"/>
          </w:tcPr>
          <w:p>
            <w:pPr>
              <w:spacing w:after="0"/>
              <w:rPr>
                <w:sz w:val="16"/>
                <w:szCs w:val="16"/>
                <w:color w:val="auto"/>
              </w:rPr>
            </w:pPr>
          </w:p>
        </w:tc>
        <w:tc>
          <w:tcPr>
            <w:tcW w:w="13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8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principal</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25,000</w:t>
            </w: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End-of-term debt obligation</w:t>
            </w:r>
          </w:p>
        </w:tc>
        <w:tc>
          <w:tcPr>
            <w:tcW w:w="18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365</w:t>
            </w: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57"/>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debt obligation</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12,854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25,282</w:t>
            </w:r>
          </w:p>
        </w:tc>
      </w:tr>
      <w:tr>
        <w:trPr>
          <w:trHeight w:val="20"/>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principal and end-of-term debt obligation payments due under the Loan and Security Agreement are as follows (in thousands of dollars):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1"/>
        </w:trPr>
        <w:tc>
          <w:tcPr>
            <w:tcW w:w="4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8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8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8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5,556</w:t>
            </w:r>
          </w:p>
        </w:tc>
      </w:tr>
      <w:tr>
        <w:trPr>
          <w:trHeight w:val="243"/>
        </w:trPr>
        <w:tc>
          <w:tcPr>
            <w:tcW w:w="1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8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8,132</w:t>
            </w: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82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13,688</w:t>
            </w:r>
          </w:p>
        </w:tc>
      </w:tr>
      <w:tr>
        <w:trPr>
          <w:trHeight w:val="20"/>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end-of-term debt obligation accretes over the term of the Loan and Security Agreement until maturity and is included in interest expense in the Company's condensed statements of operations and comprehensive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had reserved shares of common stock for issuance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16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8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95"/>
        </w:trPr>
        <w:tc>
          <w:tcPr>
            <w:tcW w:w="83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 and restricted stock units issued and outstanding</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6,733,949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6,235,258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options and restricted stock units available for grant under stock option plans</w:t>
            </w:r>
          </w:p>
        </w:tc>
        <w:tc>
          <w:tcPr>
            <w:tcW w:w="15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2,141,658</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1,571,658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 available for the Employee Stock Purchase Plan</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229,218</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309,419</w:t>
            </w:r>
          </w:p>
        </w:tc>
        <w:tc>
          <w:tcPr>
            <w:tcW w:w="0" w:type="dxa"/>
            <w:vAlign w:val="bottom"/>
          </w:tcPr>
          <w:p>
            <w:pPr>
              <w:spacing w:after="0"/>
              <w:rPr>
                <w:sz w:val="1"/>
                <w:szCs w:val="1"/>
                <w:color w:val="auto"/>
              </w:rPr>
            </w:pPr>
          </w:p>
        </w:tc>
      </w:tr>
      <w:tr>
        <w:trPr>
          <w:trHeight w:val="257"/>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9,104,825</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8,116,335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Thyroid Cytopathology Partners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an agreement with a specialized pathology practice, Thyroid Cytopathology Partners, ("TCP"), to provide testing services to the Company (the "TCP Agreement"). The TCP Agreement is effective through October 31, 2022, and thereafter automatically renews every year unless either party provides notice of intent not to renew at least 12 months prior to the end of the then-current term. Under the TCP Agreement, the Company pays TCP based on a fixed price per test schedule which is reviewed periodically for changes in market pricing, and the TCP Agreement includes a clause allowing TCP to sublease a portion of the Company's facility in Austin, Texas. The Company does not have an ownership interest in or provide any form of financial or other support to TCP. The Company previously concluded that TCP represents a variable interest entity as a result of the facility arrangement clause, but that the Company is not the primary beneficiary as it does not have the ability to direct the activities that most significantly impact TCP's economic performance, and therefore does not consolidate TCP. On February 14, 2019, the TCP Agreement was amended to remove the facility clause. Accordingly, the Company believes TCP was no longer a variable interest entity as of that date.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TCP's portion of rent and related operating expenses reimbursed to the Company for the shared space at the Austin, Texas facility was $11,000 and $32,000 for the three months ended March 31, 2019 and 2018, respectively, and is included in other income, net in the Company’s condensed statements of operations and comprehensive loss.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did not record a provision or benefit for income taxes during the three months ended March 31, 2019 and 2018. The Company continues to maintain a full valuation allowance against its net deferred tax assets.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2019, the Company had unrecognized tax benefits of $2.8 million, none of which would currently affect the Company’s effective tax rate if recognized due to the Company’s net deferred tax assets being fully offset by a valuation allowance. The Company does not anticipate that the amount of unrecognized tax benefits relating to tax positions existing at March 31, 2019 will significantly increase or decrease within the next 12 months. There was no interest expense or penalties related to unrecognized tax benefits recorded through March 31, 2019.</w:t>
      </w:r>
    </w:p>
    <w:p>
      <w:pPr>
        <w:spacing w:after="0" w:line="180" w:lineRule="exact"/>
        <w:rPr>
          <w:sz w:val="20"/>
          <w:szCs w:val="20"/>
          <w:color w:val="auto"/>
        </w:rPr>
      </w:pPr>
    </w:p>
    <w:p>
      <w:pPr>
        <w:jc w:val="both"/>
        <w:ind w:firstLine="686"/>
        <w:spacing w:after="0" w:line="261" w:lineRule="auto"/>
        <w:rPr>
          <w:sz w:val="20"/>
          <w:szCs w:val="20"/>
          <w:color w:val="auto"/>
        </w:rPr>
      </w:pPr>
      <w:r>
        <w:rPr>
          <w:rFonts w:ascii="Times New Roman" w:cs="Times New Roman" w:eastAsia="Times New Roman" w:hAnsi="Times New Roman"/>
          <w:sz w:val="18"/>
          <w:szCs w:val="18"/>
          <w:color w:val="auto"/>
        </w:rPr>
        <w:t>A number of years may elapse before an uncertain tax position is audited and finally resolved. While it is often difficult to predict the final outcome or the timing of resolution of any particular uncertain tax position, the Company believes that its reserves for income taxes reflect the most likely outcome. The Company adjusts these reserves, as well as the related interest, with consideration of changing facts and circumstances. Settlement of any particular position could require the use of cash.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financial condition and results of operations should be read together with the condensed financial statements and the related notes included in Item 1 of Part I of this Quarterly Report on Form 10-Q, and with our audited financial statements and the related notes included in our Annual Report on Form 10-K for the year ended December 31, 2018.</w:t>
      </w:r>
    </w:p>
    <w:p>
      <w:pPr>
        <w:spacing w:after="0" w:line="17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This report contains forward-looking statements within the meaning of the Private Securities Litigation Reform Act of 1995. When used in this report, the words "expects," "anticipates," "intends," "estimates," "plans," "believes," "continuing," "ongoing," and similar expressions are intended to identify forward-looking statements. These are statements that relate to future events and include, but are not limited to, the factors that may impact our financial results; our expectations regarding revenue; our expectations with respect to our future research and development, general and administrative and selling and marketing expenses and our anticipated uses of our funds; our beliefs with respect to the optimization of our processes for the analysis of ribonucleic acid, or RNA, samples; our collaboration with Johnson &amp; Johnson Services, Inc.; our belief in the importance of maintaining libraries of clinical evidence; our expectations regarding capital expenditures; our anticipated cash needs and our estimates regarding our capital requirements; the timing and success of our transition to a single platform for all of our classifiers and tests; our ability to maintain Medicare coverage for each of our tests; our estimates of the number of people covered under the TRICARE program, our belief that published clinical validation and utility study finding for the Envisia classifier can improve diagnosis and decrease the need for surgery, study results demonstrating that the Afirma GSC test has an enhanced ability to distinguish benign from cancerous </w:t>
      </w:r>
      <w:r>
        <w:rPr>
          <w:rFonts w:ascii="Times New Roman" w:cs="Times New Roman" w:eastAsia="Times New Roman" w:hAnsi="Times New Roman"/>
          <w:sz w:val="18"/>
          <w:szCs w:val="18"/>
          <w:i w:val="1"/>
          <w:iCs w:val="1"/>
          <w:color w:val="222222"/>
        </w:rPr>
        <w:t>Hürthle cells, our belief that variant and fusion information from the Afirma Xpression Atlas data may help guide physicians in preoperative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color w:val="222222"/>
        </w:rPr>
        <w:t xml:space="preserve">evaluation, surgical planning and targetd therapy selections; </w:t>
      </w:r>
      <w:r>
        <w:rPr>
          <w:rFonts w:ascii="Times New Roman" w:cs="Times New Roman" w:eastAsia="Times New Roman" w:hAnsi="Times New Roman"/>
          <w:sz w:val="18"/>
          <w:szCs w:val="18"/>
          <w:i w:val="1"/>
          <w:iCs w:val="1"/>
          <w:color w:val="000000"/>
        </w:rPr>
        <w:t>our need for additional financing; potential future sources of cash; our business strategy and</w:t>
      </w:r>
      <w:r>
        <w:rPr>
          <w:rFonts w:ascii="Times New Roman" w:cs="Times New Roman" w:eastAsia="Times New Roman" w:hAnsi="Times New Roman"/>
          <w:sz w:val="18"/>
          <w:szCs w:val="18"/>
          <w:i w:val="1"/>
          <w:iCs w:val="1"/>
          <w:color w:val="222222"/>
        </w:rPr>
        <w:t xml:space="preserve"> </w:t>
      </w:r>
      <w:r>
        <w:rPr>
          <w:rFonts w:ascii="Times New Roman" w:cs="Times New Roman" w:eastAsia="Times New Roman" w:hAnsi="Times New Roman"/>
          <w:sz w:val="18"/>
          <w:szCs w:val="18"/>
          <w:i w:val="1"/>
          <w:iCs w:val="1"/>
          <w:color w:val="000000"/>
        </w:rPr>
        <w:t>our ability to execute our strategy; our ability to achieve and maintain reimbursement from third-party payers at acceptable levels and our expectations regarding the timing of reimbursement; the estimated size of the global markets for our tests; the estimated number of patients who receive uncertain diagnoses who are candidates for our test; the attributes and potential benefits of our tests and any future tests we may develop to patients, physicians and payers; the factors we believe drive demand for and reimbursement of our tests; our ability to sustain or increase demand for our tests; our intent to expand into other clinical areas; our ability to develop new tests, and the timeframes for development or commercialization; our ability to get our data and clinical studies accepted in peer-reviewed publications; our dependence on and the terms of our agreement with TCP, and on other strategic relationships, and the success of those relationships; our beliefs regarding our laboratory capacity; the potential for future clinical studies to contradict or undermine previously published clinical study results; the applicability of clinical results to actual outcomes; our expectations regarding our international expansion; the occurrence, timing, outcome or success of clinical trials or studies; the ability of our tests to impact treatment decisions; our beliefs regarding our competitive position; our compliance with federal, state and international regulations; the potential impact of regulation of our tests by the Food and Drug Administration, or FDA, or other regulatory bodies; the impact of new or changing policies, regulation or legislation, or of judicial decisions, on our business; the impact of seasonal fluctuations and economic conditions on our business; our belief that we have taken reasonable steps to protect our intellectual property; our belief that our intellectual property will develop and maintain our competitive position; the impact of accounting pronouncements and our critical accounting policies, judgments, estimates, models and assumptions on our financial results; and anticipated trends and challenges in our business and the markets in which we operate. We caution you that the foregoing list does not contain all of the forward-looking statements made in this report.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Forward-looking statements are based on our current plans and expectations and involve risks and uncertainties which could cause actual results to differ materially. These risks and uncertainties include, but are not limited to, those risks discussed in Part II, Item 1A of this report. These forward-looking statements speak only as of the date hereof. We expressly disclaim any obligation or undertaking to update any forward-looking statements contained herein to reflect any change in our expectations with regard thereto or any change in events, conditions or circumstances on which any such statement is based.</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When used in this report, all references to "Veracyte," the "company," "we," "our" and "us" refer to Veracyte, Inc.</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Veracyte, Afirma, Percepta, Envisia, Know by Design, the Veracyte logo and the Afirma logo are our trademarks. We also refer to trademarks of other corporations or organizations in this report.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report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report is also based on our internal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leading genomic diagnostics company that is creating value through innovation. We were founded in 2008 with a mission to improve diagnostic accuracy. Today, through our innovative scientific platform which utilizes RNA whole-transcriptome sequencing combined with machine learning, we are serving this critical medical need and expanding our offerings further along the clinical continuum of care so that we can advance early detection of disease and inform treatment decisions at the same time as diagnosis.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commercialized five leading, first-to-market tests that are transforming care in large, untapped clinical areas - thyroid cancer, lung cancer and idiopathic pulmonary fibrosis, or IPF. We develop tests that answer specific clinical questions, providing patients and physicians with a clear path forward without the need for risky or costly procedures that are often unnecessary. Our RNA whole-transcriptome sequencing platform enables us to maximize the amount of genomic content that we extract from each nonsurgical patient sample. We utilize our machine learning expertise to develop genomic classifiers that provide actionable information at the time of diagnosis. At the same time, our approach enables us to provide information that can guide treatment decisions such as surgery strategy and therapy selection.</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position our tests in each clinical indication at the point where they improve diagnostic clarity for cancer and other diseases. In its 2015 report, “Improving Diagnostic Errors in Medicine,” the Institute of Medicine concluded that most people will experience at least one diagnostic error in their lifetime, sometimes with devastating consequences. Annually, of the hundreds of thousands of patients who are evaluated for suspected disease in our thyroid and lung indications, diagnosis can be ambiguous in 15% to 70% of cases.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date, we have commercialized five genomic tests that are changing disease diagnosis:</w:t>
      </w:r>
    </w:p>
    <w:p>
      <w:pPr>
        <w:spacing w:after="0" w:line="225" w:lineRule="exact"/>
        <w:rPr>
          <w:sz w:val="20"/>
          <w:szCs w:val="20"/>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Afirma Genomic Sequencing Classifier, or GSC, for thyroid cancer;</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Afirma Gene Expression Classifier, or GEC, which was the Afirma GSC’s predecessor;</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Percepta Bronchial Genomic Classifier for lung cancer;</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Envisia Genomic Classifier for IPF; and</w:t>
      </w:r>
    </w:p>
    <w:p>
      <w:pPr>
        <w:spacing w:after="0" w:line="9" w:lineRule="exact"/>
        <w:rPr>
          <w:rFonts w:ascii="Times New Roman" w:cs="Times New Roman" w:eastAsia="Times New Roman" w:hAnsi="Times New Roman"/>
          <w:sz w:val="18"/>
          <w:szCs w:val="18"/>
          <w:color w:val="auto"/>
        </w:rPr>
      </w:pPr>
    </w:p>
    <w:p>
      <w:pPr>
        <w:ind w:left="1300" w:right="20" w:hanging="320"/>
        <w:spacing w:after="0" w:line="261"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2018, we unveiled our Afirma® Xpression Atlas, which provides information on the most common and emerging gene alterations associated with thyroid cancer, enabling physicians to confidently tailor surgical and treatment decisions at time of diagnosis.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Collectively, we believe the tests we are currently offering address a $2 billion global market opportunity.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published evidence supporting our tests demonstrates the robustness of our science and clinical studies, and we believe is key to driving adoption and reimbursement. Patients and physicians can access our full list of publications on our website. Over 38 clinical studies covering our products have been published, including two landmark clinical validation papers published in The New England Journal of Medicine for the Afirma and Percepta classifiers, respectively. We continue to build upon our extensive library of clinical evidence.</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believe our focus on developing clinically useful tests that change patient care is enabling us to set new standards in genomic test reimbursement. Our Afirma genomic classifier is now covered by every major health plan in the United States, which collectively insure more than 275 million people for use in thyroid cancer diagnosis. Veracyte is now contracted as an in-network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service provider to health plans representing over 215 million people in the United States. Our second commercial product, the Percepta classifier, is the first genomic test to gain Medicare coverage for improved lung cancer screening and diagnosis, making it a covered benefit for nearly 60 million people.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2019 Financial Results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first quarter of 2019, as compared with the first quarter of 2018:</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was $29.5 million, an increase of 47%; excluding biopharmaceutical services revenue, revenue was $25.4 million, an increase of 27%;</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was 71%, an improvement of 1000 basis points or 10 percentage points;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Operating Expenses, Excluding Cost of Revenue</w:t>
      </w:r>
      <w:r>
        <w:rPr>
          <w:rFonts w:ascii="Times New Roman" w:cs="Times New Roman" w:eastAsia="Times New Roman" w:hAnsi="Times New Roman"/>
          <w:sz w:val="18"/>
          <w:szCs w:val="18"/>
          <w:color w:val="auto"/>
        </w:rPr>
        <w:t>, were $23.1 million, an increase of 9%;</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Loss and Comprehensive Loss </w:t>
      </w:r>
      <w:r>
        <w:rPr>
          <w:rFonts w:ascii="Times New Roman" w:cs="Times New Roman" w:eastAsia="Times New Roman" w:hAnsi="Times New Roman"/>
          <w:sz w:val="18"/>
          <w:szCs w:val="18"/>
          <w:color w:val="auto"/>
        </w:rPr>
        <w:t>was $1.9 million, a decrease of 79%;</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Basic and Diluted Net Loss Per Common Share </w:t>
      </w:r>
      <w:r>
        <w:rPr>
          <w:rFonts w:ascii="Times New Roman" w:cs="Times New Roman" w:eastAsia="Times New Roman" w:hAnsi="Times New Roman"/>
          <w:sz w:val="18"/>
          <w:szCs w:val="18"/>
          <w:color w:val="auto"/>
        </w:rPr>
        <w:t>was $0.05, an improvement of 81%;</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Cash Used in Operating Activities </w:t>
      </w:r>
      <w:r>
        <w:rPr>
          <w:rFonts w:ascii="Times New Roman" w:cs="Times New Roman" w:eastAsia="Times New Roman" w:hAnsi="Times New Roman"/>
          <w:sz w:val="18"/>
          <w:szCs w:val="18"/>
          <w:color w:val="auto"/>
        </w:rPr>
        <w:t>was $1.0 million, an improvement of 86%;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were $67.8 million at March 31, 2019.</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2019 and Recent Business Highlights</w:t>
      </w:r>
    </w:p>
    <w:p>
      <w:pPr>
        <w:spacing w:after="0" w:line="229" w:lineRule="exact"/>
        <w:rPr>
          <w:sz w:val="20"/>
          <w:szCs w:val="20"/>
          <w:color w:val="auto"/>
        </w:rPr>
      </w:pPr>
    </w:p>
    <w:p>
      <w:pPr>
        <w:ind w:left="400" w:hanging="257"/>
        <w:spacing w:after="0"/>
        <w:tabs>
          <w:tab w:leader="none" w:pos="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Recognized revenue for the first time for the Envisia classifier in the first quarter of 2019.</w:t>
      </w:r>
    </w:p>
    <w:p>
      <w:pPr>
        <w:spacing w:after="0" w:line="27" w:lineRule="exact"/>
        <w:rPr>
          <w:rFonts w:ascii="Times New Roman" w:cs="Times New Roman" w:eastAsia="Times New Roman" w:hAnsi="Times New Roman"/>
          <w:sz w:val="18"/>
          <w:szCs w:val="18"/>
          <w:color w:val="auto"/>
        </w:rPr>
      </w:pPr>
    </w:p>
    <w:p>
      <w:pPr>
        <w:ind w:left="400" w:hanging="257"/>
        <w:spacing w:after="0"/>
        <w:tabs>
          <w:tab w:leader="none" w:pos="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Grew genomic test volume to 9,162 tests in the first quarter of 2019, an increase of 33% compared with the first quarter of 2018.</w:t>
      </w:r>
    </w:p>
    <w:p>
      <w:pPr>
        <w:spacing w:after="0" w:line="9" w:lineRule="exact"/>
        <w:rPr>
          <w:rFonts w:ascii="Times New Roman" w:cs="Times New Roman" w:eastAsia="Times New Roman" w:hAnsi="Times New Roman"/>
          <w:sz w:val="18"/>
          <w:szCs w:val="18"/>
          <w:color w:val="auto"/>
        </w:rPr>
      </w:pPr>
    </w:p>
    <w:p>
      <w:pPr>
        <w:ind w:left="400" w:hanging="257"/>
        <w:spacing w:after="0" w:line="250" w:lineRule="auto"/>
        <w:tabs>
          <w:tab w:leader="none" w:pos="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a final Medicare coverage determination for the Envisia classifier through the MolDX program effective April 1, 2019, making the test a covered service for nearly 60 million Medicare beneficiaries nationwide.</w:t>
      </w:r>
    </w:p>
    <w:p>
      <w:pPr>
        <w:ind w:left="400" w:hanging="257"/>
        <w:spacing w:after="0" w:line="250" w:lineRule="auto"/>
        <w:tabs>
          <w:tab w:leader="none" w:pos="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coverage for the Afirma® Genomic Sequencing Classifier (GSC) under the U.S. Department of Defense TRICARE program for approximately 9.4 million uniformed service members, retirees and their families around the world.</w:t>
      </w:r>
    </w:p>
    <w:p>
      <w:pPr>
        <w:ind w:left="400" w:right="20" w:hanging="257"/>
        <w:spacing w:after="0" w:line="261" w:lineRule="auto"/>
        <w:tabs>
          <w:tab w:leader="none" w:pos="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regulatory approval for the Envisia classifier from the New York State Department of Health, making the test available to patients in the state effective immediately.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Strengthened Library of Clinical Evidence:</w:t>
      </w:r>
    </w:p>
    <w:p>
      <w:pPr>
        <w:spacing w:after="0" w:line="146" w:lineRule="exact"/>
        <w:rPr>
          <w:sz w:val="20"/>
          <w:szCs w:val="20"/>
          <w:color w:val="auto"/>
        </w:rPr>
      </w:pPr>
    </w:p>
    <w:p>
      <w:pPr>
        <w:jc w:val="both"/>
        <w:ind w:left="400" w:hanging="257"/>
        <w:spacing w:after="0" w:line="258" w:lineRule="auto"/>
        <w:tabs>
          <w:tab w:leader="none" w:pos="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Published clinical validation and utility study findings for the Envisia classifier in </w:t>
      </w:r>
      <w:r>
        <w:rPr>
          <w:rFonts w:ascii="Times New Roman" w:cs="Times New Roman" w:eastAsia="Times New Roman" w:hAnsi="Times New Roman"/>
          <w:sz w:val="18"/>
          <w:szCs w:val="18"/>
          <w:i w:val="1"/>
          <w:iCs w:val="1"/>
          <w:color w:val="auto"/>
        </w:rPr>
        <w:t>The Lancet Respiratory Medicine</w:t>
      </w:r>
      <w:r>
        <w:rPr>
          <w:rFonts w:ascii="Times New Roman" w:cs="Times New Roman" w:eastAsia="Times New Roman" w:hAnsi="Times New Roman"/>
          <w:sz w:val="18"/>
          <w:szCs w:val="18"/>
          <w:color w:val="auto"/>
        </w:rPr>
        <w:t>, demonstrating that the test can identify more than two-thirds of patients (70% sensitivity) with the hallmark pattern of idiopathic pulmonary fibrosis (IPF), with high accuracy (88% specificity), thus improving diagnosis - without the need for surgery.</w:t>
      </w:r>
    </w:p>
    <w:p>
      <w:pPr>
        <w:spacing w:after="0" w:line="1" w:lineRule="exact"/>
        <w:rPr>
          <w:rFonts w:ascii="Times New Roman" w:cs="Times New Roman" w:eastAsia="Times New Roman" w:hAnsi="Times New Roman"/>
          <w:sz w:val="18"/>
          <w:szCs w:val="18"/>
          <w:color w:val="auto"/>
        </w:rPr>
      </w:pPr>
    </w:p>
    <w:p>
      <w:pPr>
        <w:jc w:val="both"/>
        <w:ind w:left="400" w:hanging="257"/>
        <w:spacing w:after="0" w:line="250" w:lineRule="auto"/>
        <w:tabs>
          <w:tab w:leader="none" w:pos="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independent real-world study on the Afirma GSC was published in </w:t>
      </w:r>
      <w:r>
        <w:rPr>
          <w:rFonts w:ascii="Times New Roman" w:cs="Times New Roman" w:eastAsia="Times New Roman" w:hAnsi="Times New Roman"/>
          <w:sz w:val="18"/>
          <w:szCs w:val="18"/>
          <w:i w:val="1"/>
          <w:iCs w:val="1"/>
          <w:color w:val="auto"/>
        </w:rPr>
        <w:t>Thyroid</w:t>
      </w:r>
      <w:r>
        <w:rPr>
          <w:rFonts w:ascii="Times New Roman" w:cs="Times New Roman" w:eastAsia="Times New Roman" w:hAnsi="Times New Roman"/>
          <w:sz w:val="18"/>
          <w:szCs w:val="18"/>
          <w:color w:val="auto"/>
        </w:rPr>
        <w:t xml:space="preserve"> showing that at Brigham and Women’s Hospital use of the test identified benign thyroid nodules nearly 40% more often than the original Afirma test. This improved performance was due to the test’s enhanced ability to distinguish benign from cancerous Hürthle cells, a common but hard-to-diagnose thyroid nodule subtype.</w:t>
      </w:r>
    </w:p>
    <w:p>
      <w:pPr>
        <w:spacing w:after="0" w:line="1" w:lineRule="exact"/>
        <w:rPr>
          <w:rFonts w:ascii="Times New Roman" w:cs="Times New Roman" w:eastAsia="Times New Roman" w:hAnsi="Times New Roman"/>
          <w:sz w:val="18"/>
          <w:szCs w:val="18"/>
          <w:color w:val="auto"/>
        </w:rPr>
      </w:pPr>
    </w:p>
    <w:p>
      <w:pPr>
        <w:ind w:left="400" w:right="20" w:hanging="257"/>
        <w:spacing w:after="0" w:line="250" w:lineRule="auto"/>
        <w:tabs>
          <w:tab w:leader="none" w:pos="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Published a manuscript on the Afirma GSC in </w:t>
      </w:r>
      <w:r>
        <w:rPr>
          <w:rFonts w:ascii="Times New Roman" w:cs="Times New Roman" w:eastAsia="Times New Roman" w:hAnsi="Times New Roman"/>
          <w:sz w:val="18"/>
          <w:szCs w:val="18"/>
          <w:i w:val="1"/>
          <w:iCs w:val="1"/>
          <w:color w:val="auto"/>
        </w:rPr>
        <w:t>BMS Systems Biology</w:t>
      </w:r>
      <w:r>
        <w:rPr>
          <w:rFonts w:ascii="Times New Roman" w:cs="Times New Roman" w:eastAsia="Times New Roman" w:hAnsi="Times New Roman"/>
          <w:sz w:val="18"/>
          <w:szCs w:val="18"/>
          <w:color w:val="auto"/>
        </w:rPr>
        <w:t xml:space="preserve"> showcasing the development of the classifier using RNA whole-transcriptome sequencing and machine learning, enabling improved diagnosis of Hürthle cell benign adenoma from carcinoma within this subtype of thyroid nodules.</w:t>
      </w:r>
    </w:p>
    <w:p>
      <w:pPr>
        <w:jc w:val="both"/>
        <w:ind w:left="400" w:hanging="257"/>
        <w:spacing w:after="0" w:line="255" w:lineRule="auto"/>
        <w:tabs>
          <w:tab w:leader="none" w:pos="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Afirma Xpression Atlas data at the ENDO 2019, revealing new insights into the genomic underpinning of medullary thyroid cancer (MTC). This variant and fusion information may help guide physicians in the preoperative evaluation, surgical planning and targeted therapy selections for patients diagnosed with this rare, but aggressive, form of thyroid cancer.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Reported Genomic Test Volume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performance depends on the number of genomic tests that we perform and report as completed in our CLIA laboratories. Factors impacting the number of tests that we report as completed include, but are not limited to:</w:t>
      </w:r>
    </w:p>
    <w:p>
      <w:pPr>
        <w:spacing w:after="0" w:line="162" w:lineRule="exact"/>
        <w:rPr>
          <w:sz w:val="20"/>
          <w:szCs w:val="20"/>
          <w:color w:val="auto"/>
        </w:rPr>
      </w:pPr>
    </w:p>
    <w:p>
      <w:pPr>
        <w:ind w:left="1300" w:hanging="401"/>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samples that we receive that meet the medical indication for each test performed;</w:t>
      </w:r>
    </w:p>
    <w:p>
      <w:pPr>
        <w:spacing w:after="0" w:line="27" w:lineRule="exact"/>
        <w:rPr>
          <w:rFonts w:ascii="Times New Roman" w:cs="Times New Roman" w:eastAsia="Times New Roman" w:hAnsi="Times New Roman"/>
          <w:sz w:val="18"/>
          <w:szCs w:val="18"/>
          <w:color w:val="auto"/>
        </w:rPr>
      </w:pPr>
    </w:p>
    <w:p>
      <w:pPr>
        <w:ind w:left="1300" w:hanging="401"/>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quantity and quality of the sample received;</w:t>
      </w:r>
    </w:p>
    <w:p>
      <w:pPr>
        <w:spacing w:after="0" w:line="9" w:lineRule="exact"/>
        <w:rPr>
          <w:rFonts w:ascii="Times New Roman" w:cs="Times New Roman" w:eastAsia="Times New Roman" w:hAnsi="Times New Roman"/>
          <w:sz w:val="18"/>
          <w:szCs w:val="18"/>
          <w:color w:val="auto"/>
        </w:rPr>
      </w:pPr>
    </w:p>
    <w:p>
      <w:pPr>
        <w:ind w:left="1300" w:hanging="401"/>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the necessary documentation, such as physician order and patient consent, required to perform, bill and collect for our tests;</w:t>
      </w:r>
    </w:p>
    <w:p>
      <w:pPr>
        <w:spacing w:after="0" w:line="9" w:lineRule="exact"/>
        <w:rPr>
          <w:rFonts w:ascii="Times New Roman" w:cs="Times New Roman" w:eastAsia="Times New Roman" w:hAnsi="Times New Roman"/>
          <w:sz w:val="18"/>
          <w:szCs w:val="18"/>
          <w:color w:val="auto"/>
        </w:rPr>
      </w:pPr>
    </w:p>
    <w:p>
      <w:pPr>
        <w:ind w:left="1300" w:hanging="401"/>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patient's ability to pay or provide necessary insurance coverage for the tests performed;</w:t>
      </w:r>
    </w:p>
    <w:p>
      <w:pPr>
        <w:spacing w:after="0" w:line="9" w:lineRule="exact"/>
        <w:rPr>
          <w:rFonts w:ascii="Times New Roman" w:cs="Times New Roman" w:eastAsia="Times New Roman" w:hAnsi="Times New Roman"/>
          <w:sz w:val="18"/>
          <w:szCs w:val="18"/>
          <w:color w:val="auto"/>
        </w:rPr>
      </w:pPr>
    </w:p>
    <w:p>
      <w:pPr>
        <w:ind w:left="1300" w:hanging="401"/>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it takes us to perform our tests and report the results;</w:t>
      </w:r>
    </w:p>
    <w:p>
      <w:pPr>
        <w:spacing w:after="0" w:line="9" w:lineRule="exact"/>
        <w:rPr>
          <w:rFonts w:ascii="Times New Roman" w:cs="Times New Roman" w:eastAsia="Times New Roman" w:hAnsi="Times New Roman"/>
          <w:sz w:val="18"/>
          <w:szCs w:val="18"/>
          <w:color w:val="auto"/>
        </w:rPr>
      </w:pPr>
    </w:p>
    <w:p>
      <w:pPr>
        <w:ind w:left="1300" w:hanging="401"/>
        <w:spacing w:after="0" w:line="261"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seasonality inherent in our business, such as the impact of work days per period, timing of industry conferences and the timing of when patient deductibles are exceeded, which also impacts the reimbursement we receive from insurers; and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1300" w:hanging="401"/>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prior authorization or meet other requirements instituted by payers, benefit managers, or regulators necessary to be paid for our tests.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generate substantially all our revenue from genomic testing services, including the rendering of a cytopathology diagnosis as part of the Afirma solution. For the Afirma classifier, we do not accrue revenue for approximately 5% - 10% of the tests that we perform and report as complete due principally to insufficient RNA from which to render a result and tests performed for which we do not reasonably expect to be paid.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Adoption of and Reimbursement for our Products</w:t>
      </w:r>
    </w:p>
    <w:p>
      <w:pPr>
        <w:spacing w:after="0" w:line="229" w:lineRule="exact"/>
        <w:rPr>
          <w:sz w:val="20"/>
          <w:szCs w:val="20"/>
          <w:color w:val="auto"/>
        </w:rPr>
      </w:pPr>
    </w:p>
    <w:p>
      <w:pPr>
        <w:jc w:val="both"/>
        <w:ind w:firstLine="264"/>
        <w:spacing w:after="0" w:line="254" w:lineRule="auto"/>
        <w:rPr>
          <w:sz w:val="20"/>
          <w:szCs w:val="20"/>
          <w:color w:val="auto"/>
        </w:rPr>
      </w:pPr>
      <w:r>
        <w:rPr>
          <w:rFonts w:ascii="Times New Roman" w:cs="Times New Roman" w:eastAsia="Times New Roman" w:hAnsi="Times New Roman"/>
          <w:sz w:val="18"/>
          <w:szCs w:val="18"/>
          <w:color w:val="auto"/>
        </w:rPr>
        <w:t>Revenue growth depends on our ability to secure coverage decisions, achieve broader reimbursement at increased levels from third-party payers, expand our base of prescribing physicians and increase our penetration in existing accounts. Because some payers consider our products experimental and investigational, we may not receive payment for tests and payments we receive may not be at acceptable levels. We expect our revenue growth to increase if more payers make a positive coverage decision and as payers enter into contracts with us, which should enhance our revenue and cash collections. To drive increased adoption of our products, we increased our sales force and marketing efforts over the last several years. Our sales team is structured to sell all of our products; we do not maintain a separate sales force for each product. If we are unable to expand the base of prescribing physicians and penetration within these accounts at an acceptable rate, or if we are not able to execute our strategy for increasing reimbursement, we may not be able to effectively increase our revenue. We expect to continue to see pressure from payers to limit the utilization of tests, generally, and we believe more payers are deploying cost containment tactics, such as pre-authorization, reduction of the payer portion of reimbursement and employing laboratory benefit managers to reduce utilization rates.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We Recognize Revenue</w:t>
      </w:r>
    </w:p>
    <w:p>
      <w:pPr>
        <w:spacing w:after="0" w:line="22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We commenced recognizing revenue in accordance with the provisions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starting January 1, 2018. Prior to January 1, 2018, we recognized revenue in accordance with the provisions of ASC 954-605, </w:t>
      </w:r>
      <w:r>
        <w:rPr>
          <w:rFonts w:ascii="Times New Roman" w:cs="Times New Roman" w:eastAsia="Times New Roman" w:hAnsi="Times New Roman"/>
          <w:sz w:val="18"/>
          <w:szCs w:val="18"/>
          <w:i w:val="1"/>
          <w:iCs w:val="1"/>
          <w:color w:val="auto"/>
        </w:rPr>
        <w:t>Health Care Entities - Revenue Recognition</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Most of our revenue is generated from the provision of diagnostic services. These services are completed upon the delivery of test results to the prescribing physician, at which time we bill for the services. We recognize revenue related to billings on an accrual basis based on estimates of the amount that will ultimately be realized. In determining the amount to accrue for a delivered test, we consider factors such as payment history, payer coverage, whether there is a reimbursement contract between the payer and us, payment as a percentage of agreed upon rate (if applicable), amount paid per test and any current developments or changes that could impact reimbursement. These estimates require significant judgment by management.</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2018, cumulative amounts billed at list price for tests processed which were not recognized as revenue upon delivery of a patient report because our accrual revenue recognition criteria were not met and for which we have not collected cash or written off as uncollectible, totaled approximately $159.3 million. Of this amount, we did not collect any amounts in the three months ended March 31, 2019 and we have no expectation of future collection because we began accruing for substantially all revenue upon delivery of a patient report in the third quarter of 2016.</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Generally,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payment for these tests.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bill list price regardless of contract rate, but only recognize revenue from amounts that we estimate are collectible and meet our revenue recognition criteria. Revenue may not be equal to the list price or billed amount due to a number of factors that we consider when determining revenue accrual rates, including differences in reimbursement rates, the amounts of patient co-payments and co-insurance, the existence of secondary payers, claims denials and the amount we expect to ultimately collect. Finally, when we increase our list price, as we did in July 2015, it will increase the cumulative amounts billed but may not positively impact accrued revenue. In addition, payer contracts generally include the right of offset and payers may offset payments prior to resolving disputes over tests performed.</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Generally, we calculate the average reimbursement from our products from all payers, for tests that are on average a year old, since it can take a significant period of time to collect from some payers. Except in situations where we believe the rate we reasonably expect to collect to vary due to a coverage decision, contract, more recent reimbursement data or evidence to the contrary, we use an average of reimbursement for tests provided over four quarters as it reduces the effects of temporary volatility and seasonal effects. Thus, the average reimbursement per product represents the total cash collected to date against genomic c</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lassifier tests, including variants, performed during the relevant period divided by the number of these tests performed during that same period.</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average Afirma genomic classifier reimbursement rate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 For the three months ended March 31, 2019, we accrued, on average, between $2,800 and $2,900 for the Afirma genomic classifier tests, including variants, that met our revenue recognition standard, which was between 90% - 95% of the reported Afirma classifier test volume.</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From the first quarter of 2018 to the first quarter of 2019, we accrued between $1.0 million and $2.6 million in revenue per quarter from providing cytopathology services associated with our Afirma solution.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incur expense for tests in the period in which the test is conducted and recognize revenue for tests in the period in which our revenue recognition criteria are met.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of Additional Products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continue to advance our product portfolio with diagnostic tests that leverage innovations in genomic science, sequencing technology and machine learning methodologies to further improve patient care. In May 2017, we introduced the Afirma GSC, supported by rigorous clinical validation data showing that the RNA sequencing-based test can help significantly more patients avoid unnecessary surgery in thyroid cancer diagnosis, compared to the original Afirma Classifier. In March 2018, we unveiled our Afirma Xpression Atlas, which uses the same RNA sequencing data from the platform as the Afirma GSC and enables us to extract rich genomic content - including gene expression, DNA variants and RNA fusions in over 500 genes that are associated with thyroid cancer - from thyroid FNA samples. We believe that this offering will provide clinicians with valuable genomic information that may inform surgery strategy and treatment options for patients with suspected thyroid cancer.</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Together with our Afirma GSC and our tests for the BRAF v600E mutation and medullary thyroid cancer, or Malignancy Classifiers, the Afirma Xpression Atlas rounds out a comprehensive solution for physicians evaluating thyroid nodules. This innovation also enables us to enter into research collaborations with biopharmaceutical companies, which is intended to support their development of targeted therapies for genetically defined cancers, including thyroid cancer.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also expanded our ability to provide important clinical answers - without the need for surgery - into pulmonology. Our Percepta Bronchial Genomic Classifier, introduced in April 2015, is the first genomic test to receive Medicare coverage for use in lung cancer diagnosis, where it improves the performance of diagnostic bronchoscopy. Additionally, our Envisia Genomic Classifier, launched in October 2016, is the first commercial test to improve the diagnosis of IPF among patients with a suspected interstitial lung disease. In March 2019, we received final Medicare coverage for the Envisia classifier through the MolDX program, with an effective date of April 1, 2019.</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currently exploring opportunities to utilize the same “field of injury” technology that powers our Percepta classifier to develop a nasal swab test that can enable earlier lung cancer detection - and ultimately help reduce lung cancer deaths. Additionally, we believe our Xpression Atlas platform can be transferred to our pulmonology indications, to further improve patient care and advance precision medicine in lung cancer and IPF.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Timing of Our Research and Development Expenses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 development as well as clinical validation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tests.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Through March 31, 2019, we derived most of our revenue from the sale of Afirma, delivered primarily to physicians in the United States. We generally invoice third-party payers upon delivery of a patient report to the prescribing physician. As such, we take the assignment of benefits and the risk of cash collection from the third-party payer and individual patients. Third-party payers in excess of 10% of revenue and their related revenue as a percentage of total revenue were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00" w:type="dxa"/>
            <w:vAlign w:val="bottom"/>
          </w:tcPr>
          <w:p>
            <w:pPr>
              <w:spacing w:after="0"/>
              <w:rPr>
                <w:sz w:val="16"/>
                <w:szCs w:val="16"/>
                <w:color w:val="auto"/>
              </w:rPr>
            </w:pPr>
          </w:p>
        </w:tc>
        <w:tc>
          <w:tcPr>
            <w:tcW w:w="3160" w:type="dxa"/>
            <w:vAlign w:val="bottom"/>
            <w:tcBorders>
              <w:bottom w:val="single" w:sz="8" w:color="auto"/>
            </w:tcBorders>
            <w:gridSpan w:val="3"/>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2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Medicare</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UnitedHealthcare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82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8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December 28, 2018, we entered into a diagnostics development agreement with Johnson &amp; Johnson Services, Inc. for which we recognized $3.8 million of revenue for the provision of data, which represents 12.9% of total revenue for the three months ended March 31, 2019.</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tests performed, we recognize the related revenue upon delivery of a patient report to the prescribing physician based on the amount that we expect to ultimately receive. In determining the amount to accrue for a delivered test, we consider factors such as payment history, payer coverage, whether there is a reimbursement contract between the payer and us, payment as a percentage of agreed upon reimbursement rate (if applicable), amount paid per test and any current development or changes that could impact reimbursement. Upon ultimate collection, the amount received is compared to previous estimates and the amount accrued is adjusted accordingly. Our ability to increase our revenue will depend on our ability to penetrate the market, obtain positive coverage policies from additional third-party payers, obtain reimbursement and/or enter into contracts with additional third-party payers for our current and new tests, and increase reimbursement rates for tests performed. Finally, should the judgments underlying our estimated reimbursement change, our accrued revenue and financial results could be negatively impacted in future quarters.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components of our cost of revenue are laboratory expenses, sample collection expenses, compensation expense, license fees and royalties, depreciation and amortization, other expenses such as equipment and laboratory supplies, and allocations of facility and information technology expenses. Costs associated with performing tests are recorded as the test is processed regardless of whether and when revenue is recognized with respect to that test. As a result, our cost of revenue as a percentage of revenue may vary significantly from period to period because we may not recognize all revenue in the period in which the associated costs are incurred. We expect cost of revenue in absolute dollars to increase as the number of tests we perform increases. However, we expect that the cost per test will decrease over time due to leveraging fixed costs, efficiencies we may gain as test volume increases and from automation, process efficiencies and other cost reductions. As we introduce new tests, initially our cost of revenue will be high as we expect to run suboptimal batch sizes, run quality control batches, test batches, registry samples and generally incur costs that may suppress or reduce gross margins. This will disproportionately increase our aggregate cost of revenue until we achieve efficiencies in processing these new tests.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include expenses incurred to develop our technology, collect clinical samples and conduct clinical studies to develop and support our products and pipeline. These expenses consist of compensation expenses, direct research and development expenses such as prototype materials, laboratory supplies and costs associated with setting up and conducting clinical studies at domestic and international sites, professional fees, depreciation and amortization, other miscellaneous expenses and allocation of facility and information technology expenses. We expense all research and development costs in the periods in which they are incurred. We expect to incur significant research and development expenses as we continue to invest in research and development activities related to developing additional products and evaluating various platforms. We incurred research and development expenses on ongoing evidence development for our Afirma, Percepta and Envisia classifiers in 2018 and the first quarter of 2019, and expect to continue doing so in the remainder of 2019. We believe a majority of our research and development expenses in and after 2019 will be predominantly in support of our pipeline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Selling and marketing expenses consist of compensation expenses, direct marketing expenses, professional fees, other expenses such as travel and communications costs and allocation of facility and information technology expenses. We have expanded our internal sales force as we invest in our multi-product sales strategy to assign a single point of contact to successfully develop and implement relationships with our customers and increased our marketing spending. We have also incurred increased selling and marketing expense as a result of investments in our lung product portfolio and believe total selling and marketing expenses will continue to increase as we launch and promote our new tests.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include compensation expenses for executive officers and administrative, billing and client service personnel, professional fees for legal and audit services, occupancy costs, depreciation and amortization, and other expenses such as information technology and miscellaneous expenses offset by allocation of facility and information technology expenses to other functions. For the three months ended March 31, 2019, approximately 66% of the average headcount classified as general and administrative encompass our billing and customer care teams. We expect general and administrative expenses to continue to increase as we build our general and administration infrastructure and to stabilize thereafter.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 Amortization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Intangible asset amortization began in April 2015 when we launched the Percepta test. The related finite-lived intangible asset with a cost of $16.0 million, and a net book value of $11.7 million at March 31, 2019, is being amortized over 15 years, using the straight-line method.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is attributable to our borrowings under debt agreements and capital leases as well as costs associated with the pre-payment of debt.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net consists primarily of sublease rental income and interest income from our cash held in interest bearing accounts.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Comparison of the three months ended March 31, 2019 and 2018 (in thousands of dollars, except percentages and genomic classifiers reported):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8"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7380" w:type="dxa"/>
            <w:vAlign w:val="bottom"/>
            <w:gridSpan w:val="2"/>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583"/>
        </w:trPr>
        <w:tc>
          <w:tcPr>
            <w:tcW w:w="1020" w:type="dxa"/>
            <w:vAlign w:val="bottom"/>
            <w:tcBorders>
              <w:top w:val="single" w:sz="8" w:color="0000EE"/>
            </w:tcBorders>
          </w:tcPr>
          <w:p>
            <w:pPr>
              <w:spacing w:after="0"/>
              <w:rPr>
                <w:sz w:val="24"/>
                <w:szCs w:val="24"/>
                <w:color w:val="auto"/>
              </w:rPr>
            </w:pPr>
          </w:p>
        </w:tc>
        <w:tc>
          <w:tcPr>
            <w:tcW w:w="6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00" w:type="dxa"/>
            <w:vAlign w:val="bottom"/>
            <w:tcBorders>
              <w:bottom w:val="single" w:sz="8" w:color="auto"/>
            </w:tcBorders>
          </w:tcPr>
          <w:p>
            <w:pPr>
              <w:spacing w:after="0"/>
              <w:rPr>
                <w:sz w:val="24"/>
                <w:szCs w:val="24"/>
                <w:color w:val="auto"/>
              </w:rPr>
            </w:pPr>
          </w:p>
        </w:tc>
      </w:tr>
      <w:tr>
        <w:trPr>
          <w:trHeight w:val="264"/>
        </w:trPr>
        <w:tc>
          <w:tcPr>
            <w:tcW w:w="1020" w:type="dxa"/>
            <w:vAlign w:val="bottom"/>
            <w:tcBorders>
              <w:bottom w:val="single" w:sz="8" w:color="CCEEFF"/>
            </w:tcBorders>
          </w:tcPr>
          <w:p>
            <w:pPr>
              <w:spacing w:after="0"/>
              <w:rPr>
                <w:sz w:val="22"/>
                <w:szCs w:val="22"/>
                <w:color w:val="auto"/>
              </w:rPr>
            </w:pPr>
          </w:p>
        </w:tc>
        <w:tc>
          <w:tcPr>
            <w:tcW w:w="63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r>
      <w:tr>
        <w:trPr>
          <w:trHeight w:val="249"/>
        </w:trPr>
        <w:tc>
          <w:tcPr>
            <w:tcW w:w="7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29,529</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20,041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9,488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7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3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r>
      <w:tr>
        <w:trPr>
          <w:trHeight w:val="243"/>
        </w:trPr>
        <w:tc>
          <w:tcPr>
            <w:tcW w:w="7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w:t>
            </w:r>
          </w:p>
        </w:tc>
      </w:tr>
      <w:tr>
        <w:trPr>
          <w:trHeight w:val="27"/>
        </w:trPr>
        <w:tc>
          <w:tcPr>
            <w:tcW w:w="10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3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11,543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r>
      <w:tr>
        <w:trPr>
          <w:trHeight w:val="243"/>
        </w:trPr>
        <w:tc>
          <w:tcPr>
            <w:tcW w:w="7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1,260</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10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3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3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31,596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28,996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2,600</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w:t>
            </w:r>
          </w:p>
        </w:tc>
      </w:tr>
      <w:tr>
        <w:trPr>
          <w:trHeight w:val="27"/>
        </w:trPr>
        <w:tc>
          <w:tcPr>
            <w:tcW w:w="102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44"/>
        </w:trPr>
        <w:tc>
          <w:tcPr>
            <w:tcW w:w="7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6,888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(77)%</w:t>
            </w:r>
          </w:p>
        </w:tc>
      </w:tr>
      <w:tr>
        <w:trPr>
          <w:trHeight w:val="243"/>
        </w:trPr>
        <w:tc>
          <w:tcPr>
            <w:tcW w:w="7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10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97"/>
        </w:trPr>
        <w:tc>
          <w:tcPr>
            <w:tcW w:w="73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7,260</w:t>
            </w:r>
          </w:p>
        </w:tc>
        <w:tc>
          <w:tcPr>
            <w:tcW w:w="1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(79)%</w:t>
            </w:r>
          </w:p>
        </w:tc>
      </w:tr>
      <w:tr>
        <w:trPr>
          <w:trHeight w:val="210"/>
        </w:trPr>
        <w:tc>
          <w:tcPr>
            <w:tcW w:w="738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b w:val="1"/>
                <w:bCs w:val="1"/>
                <w:color w:val="auto"/>
              </w:rPr>
              <w:t>Other Operating Data:</w:t>
            </w:r>
          </w:p>
        </w:tc>
        <w:tc>
          <w:tcPr>
            <w:tcW w:w="2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243"/>
        </w:trPr>
        <w:tc>
          <w:tcPr>
            <w:tcW w:w="7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Genomic classifiers reported</w:t>
            </w:r>
          </w:p>
        </w:tc>
        <w:tc>
          <w:tcPr>
            <w:tcW w:w="2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2,298</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10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r>
      <w:tr>
        <w:trPr>
          <w:trHeight w:val="243"/>
        </w:trPr>
        <w:tc>
          <w:tcPr>
            <w:tcW w:w="7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2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Revenue increased $9.5 million, or 47%, for the three months ended March 31, 2019 compared to the same period in 2018 primarily due to a 33% volume increase in genomic classifiers and an increase in the accrual rate for our Afirma genomic classifiers. In the three months ended March 31, 2019, we also recognized $4.1 million of biopharmaceutical service revenue and $0.9 million of revenue for Percepta, the volume for which is included in the number of genomic classifiers reported, compared to zero and $0.1 million in the same period in 2018, respectively. We also make adjustments, as necessary, for tests accrued in prior quarters as collections are made if the amount we expect to ultimately collect changes. The adjustment for tests accrued in prior quarters increased revenue by $0.6 million and $0.7 million for the three months ended March 31, 2019 and 2018, respectively, a net decrease of $0.1 million between the periods.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Comparison of the three months ended March 31, 2019 and 2018 is as follows (in thousands of dollars, except percentages):</w:t>
      </w:r>
    </w:p>
    <w:p>
      <w:pPr>
        <w:spacing w:after="0" w:line="381"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24765</wp:posOffset>
            </wp:positionV>
            <wp:extent cx="25126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gridSpan w:val="2"/>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9"/>
              </w:rPr>
              <w:t>%</w:t>
            </w:r>
          </w:p>
        </w:tc>
      </w:tr>
      <w:tr>
        <w:trPr>
          <w:trHeight w:val="235"/>
        </w:trPr>
        <w:tc>
          <w:tcPr>
            <w:tcW w:w="7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Laboratory costs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4,664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4,167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497</w:t>
            </w:r>
          </w:p>
        </w:tc>
        <w:tc>
          <w:tcPr>
            <w:tcW w:w="102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7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Sample collection costs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w:t>
            </w:r>
          </w:p>
        </w:tc>
        <w:tc>
          <w:tcPr>
            <w:tcW w:w="1020" w:type="dxa"/>
            <w:vAlign w:val="bottom"/>
            <w:tcBorders>
              <w:bottom w:val="single" w:sz="8" w:color="CCEEFF"/>
            </w:tcBorders>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8%</w:t>
            </w:r>
          </w:p>
        </w:tc>
      </w:tr>
      <w:tr>
        <w:trPr>
          <w:trHeight w:val="243"/>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expense</w:t>
            </w:r>
          </w:p>
        </w:tc>
        <w:tc>
          <w:tcPr>
            <w:tcW w:w="2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311</w:t>
            </w:r>
          </w:p>
        </w:tc>
        <w:tc>
          <w:tcPr>
            <w:tcW w:w="102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7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License fees and royalties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20" w:type="dxa"/>
            <w:vAlign w:val="bottom"/>
            <w:tcBorders>
              <w:bottom w:val="single" w:sz="8" w:color="CCEEFF"/>
            </w:tcBorders>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(100)%</w:t>
            </w:r>
          </w:p>
        </w:tc>
      </w:tr>
      <w:tr>
        <w:trPr>
          <w:trHeight w:val="243"/>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w:t>
            </w:r>
          </w:p>
        </w:tc>
        <w:tc>
          <w:tcPr>
            <w:tcW w:w="102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7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w:t>
            </w:r>
          </w:p>
        </w:tc>
        <w:tc>
          <w:tcPr>
            <w:tcW w:w="1020" w:type="dxa"/>
            <w:vAlign w:val="bottom"/>
            <w:tcBorders>
              <w:bottom w:val="single" w:sz="8" w:color="CCEEFF"/>
            </w:tcBorders>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Allocations</w:t>
            </w:r>
          </w:p>
        </w:tc>
        <w:tc>
          <w:tcPr>
            <w:tcW w:w="2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w:t>
            </w:r>
          </w:p>
        </w:tc>
        <w:tc>
          <w:tcPr>
            <w:tcW w:w="102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7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7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7,867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646</w:t>
            </w:r>
          </w:p>
        </w:tc>
        <w:tc>
          <w:tcPr>
            <w:tcW w:w="1020" w:type="dxa"/>
            <w:vAlign w:val="bottom"/>
            <w:tcBorders>
              <w:bottom w:val="single" w:sz="8" w:color="CCEEFF"/>
            </w:tcBorders>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8%</w:t>
            </w:r>
          </w:p>
        </w:tc>
      </w:tr>
      <w:tr>
        <w:trPr>
          <w:trHeight w:val="20"/>
        </w:trPr>
        <w:tc>
          <w:tcPr>
            <w:tcW w:w="7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revenue increased $0.6 million, or 8%, for the three months ended March 31, 2019 compared to the same period in 2018. Reported genomic classifiers volume increased 33% and cytopathology volume was flat for the three months ended March 31, 2019 compared to the same period in 2018. The increase in laboratory costs was due primarily to the increase in reported genomic classifiers volume. The increase in compensation expense was primarily due to an average laboratory headcount increase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4" w:right="23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of 12%. The decrease in license fees and royalties was due to the completed transition to the Afirma GSC in the third quarter of 2018, for which we do not pay license fees as we did in connection with the Afirma GEC.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Comparison of the three months ended March 31, 2019 and 2018 is as follows (in thousands of dollars, except percentages):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00" w:type="dxa"/>
            <w:vAlign w:val="bottom"/>
            <w:tcBorders>
              <w:bottom w:val="single" w:sz="8" w:color="auto"/>
            </w:tcBorders>
          </w:tcPr>
          <w:p>
            <w:pPr>
              <w:spacing w:after="0"/>
              <w:rPr>
                <w:sz w:val="16"/>
                <w:szCs w:val="16"/>
                <w:color w:val="auto"/>
              </w:rPr>
            </w:pPr>
          </w:p>
        </w:tc>
      </w:tr>
      <w:tr>
        <w:trPr>
          <w:trHeight w:val="264"/>
        </w:trPr>
        <w:tc>
          <w:tcPr>
            <w:tcW w:w="7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r>
      <w:tr>
        <w:trPr>
          <w:trHeight w:val="235"/>
        </w:trPr>
        <w:tc>
          <w:tcPr>
            <w:tcW w:w="7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expense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2,130</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w:t>
            </w:r>
          </w:p>
        </w:tc>
      </w:tr>
      <w:tr>
        <w:trPr>
          <w:trHeight w:val="27"/>
        </w:trPr>
        <w:tc>
          <w:tcPr>
            <w:tcW w:w="7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research and development expense</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r>
      <w:tr>
        <w:trPr>
          <w:trHeight w:val="243"/>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Professional fees</w:t>
            </w:r>
          </w:p>
        </w:tc>
        <w:tc>
          <w:tcPr>
            <w:tcW w:w="2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w:t>
            </w:r>
          </w:p>
        </w:tc>
      </w:tr>
      <w:tr>
        <w:trPr>
          <w:trHeight w:val="27"/>
        </w:trPr>
        <w:tc>
          <w:tcPr>
            <w:tcW w:w="7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7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Allocations</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w:t>
            </w:r>
          </w:p>
        </w:tc>
      </w:tr>
      <w:tr>
        <w:trPr>
          <w:trHeight w:val="257"/>
        </w:trPr>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3,435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3,675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w:t>
            </w:r>
          </w:p>
        </w:tc>
      </w:tr>
      <w:tr>
        <w:trPr>
          <w:trHeight w:val="20"/>
        </w:trPr>
        <w:tc>
          <w:tcPr>
            <w:tcW w:w="7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decreased $0.2 million, or 7%, for the three months ended March 31, 2019 compared to the same period in 2018. The decrease in compensation expense was primarily due to the severance costs incurred in the three months ended March 31, 2018 that were not incurred in the three months ended March 31, 2019.</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Comparison of the three months ended March 31, 2019 and 2018 is as follows (in thousands of dollars, except percentages):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00" w:type="dxa"/>
            <w:vAlign w:val="bottom"/>
            <w:tcBorders>
              <w:bottom w:val="single" w:sz="8" w:color="auto"/>
            </w:tcBorders>
          </w:tcPr>
          <w:p>
            <w:pPr>
              <w:spacing w:after="0"/>
              <w:rPr>
                <w:sz w:val="16"/>
                <w:szCs w:val="16"/>
                <w:color w:val="auto"/>
              </w:rPr>
            </w:pPr>
          </w:p>
        </w:tc>
      </w:tr>
      <w:tr>
        <w:trPr>
          <w:trHeight w:val="264"/>
        </w:trPr>
        <w:tc>
          <w:tcPr>
            <w:tcW w:w="7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r>
      <w:tr>
        <w:trPr>
          <w:trHeight w:val="235"/>
        </w:trPr>
        <w:tc>
          <w:tcPr>
            <w:tcW w:w="7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expense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7,714</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7,862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w:t>
            </w:r>
          </w:p>
        </w:tc>
      </w:tr>
      <w:tr>
        <w:trPr>
          <w:trHeight w:val="27"/>
        </w:trPr>
        <w:tc>
          <w:tcPr>
            <w:tcW w:w="7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marketing expense</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Professional fees</w:t>
            </w:r>
          </w:p>
        </w:tc>
        <w:tc>
          <w:tcPr>
            <w:tcW w:w="22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7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Allocations</w:t>
            </w:r>
          </w:p>
        </w:tc>
        <w:tc>
          <w:tcPr>
            <w:tcW w:w="22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7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7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12,477</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11,543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Selling and marketing expense increased $0.9 million, or 8%, for the three months ended March 31, 2019 compared to the same period in 2018. Compensation expense decreased despite a 40% increase in average headcount, due to higher incentive compensation in the prior year period. The increase in direct marketing expense was due to higher trade show and general marketing spend. The increase in other expenses was primarily due to travel and entertainment expenses related to the increase in headcount, as was the increase in allocations.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Comparison of the three months ended March 31, 2019 and 2018 is as follows (in thousands of dollars, except percentages):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20" w:type="dxa"/>
            <w:vAlign w:val="bottom"/>
            <w:tcBorders>
              <w:bottom w:val="single" w:sz="8" w:color="auto"/>
            </w:tcBorders>
          </w:tcPr>
          <w:p>
            <w:pPr>
              <w:spacing w:after="0"/>
              <w:rPr>
                <w:sz w:val="16"/>
                <w:szCs w:val="16"/>
                <w:color w:val="auto"/>
              </w:rPr>
            </w:pPr>
          </w:p>
        </w:tc>
      </w:tr>
      <w:tr>
        <w:trPr>
          <w:trHeight w:val="264"/>
        </w:trPr>
        <w:tc>
          <w:tcPr>
            <w:tcW w:w="7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5"/>
        </w:trPr>
        <w:tc>
          <w:tcPr>
            <w:tcW w:w="7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expense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4,200</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3,781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r>
      <w:tr>
        <w:trPr>
          <w:trHeight w:val="27"/>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fees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63%</w:t>
            </w:r>
          </w:p>
        </w:tc>
      </w:tr>
      <w:tr>
        <w:trPr>
          <w:trHeight w:val="243"/>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 expenses</w:t>
            </w: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r>
      <w:tr>
        <w:trPr>
          <w:trHeight w:val="27"/>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r>
      <w:tr>
        <w:trPr>
          <w:trHeight w:val="243"/>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22%</w:t>
            </w:r>
          </w:p>
        </w:tc>
      </w:tr>
      <w:tr>
        <w:trPr>
          <w:trHeight w:val="27"/>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Allocations</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14%</w:t>
            </w:r>
          </w:p>
        </w:tc>
      </w:tr>
      <w:tr>
        <w:trPr>
          <w:trHeight w:val="257"/>
        </w:trPr>
        <w:tc>
          <w:tcPr>
            <w:tcW w:w="7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6,904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5,644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22%</w:t>
            </w:r>
          </w:p>
        </w:tc>
      </w:tr>
      <w:tr>
        <w:trPr>
          <w:trHeight w:val="20"/>
        </w:trPr>
        <w:tc>
          <w:tcPr>
            <w:tcW w:w="7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$1.3 million, or 22%, for the three months ended March 31, 2019 compared to the same period in 2018. The increase in compensation expense was mainly due to higher stock compensation expenses from the increase in our stock price, and the increase in professional fees was mainly due to higher legal expenses.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Interest expense decreased $145,000, or 32%, for the three months ended March 31, 2019 compared to the same period in 2018, mainly due to the prepayment of $12.5 million of the principal amount of our Term Loan in January 2019.</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4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Other income, net, increased $227,000 for the three months ended March 31, 2019 compared to the same period in 2018 primarily due to higher interest income from our money market investments </w:t>
      </w:r>
      <w:r>
        <w:rPr>
          <w:rFonts w:ascii="Times New Roman" w:cs="Times New Roman" w:eastAsia="Times New Roman" w:hAnsi="Times New Roman"/>
          <w:sz w:val="19"/>
          <w:szCs w:val="19"/>
          <w:color w:val="auto"/>
        </w:rPr>
        <w:t>following our public offering of common stock in July 2018.</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inception through March 31, 2019, we have been financed primarily through net proceeds from the sale of our equity securities and borrowings under our credit facilities. We have incurred net losses since our inception. For the three months ended March 31, 2019, we had a net loss of $1.9 million, and as of March 31, 2019, we had an accumulated deficit of $236.0 million. We expect to incur additional losses in 2019 and potentially in future years.</w:t>
      </w:r>
    </w:p>
    <w:p>
      <w:pPr>
        <w:spacing w:after="0" w:line="176" w:lineRule="exact"/>
        <w:rPr>
          <w:sz w:val="20"/>
          <w:szCs w:val="20"/>
          <w:color w:val="auto"/>
        </w:rPr>
      </w:pPr>
    </w:p>
    <w:p>
      <w:pPr>
        <w:jc w:val="both"/>
        <w:ind w:firstLine="891"/>
        <w:spacing w:after="0" w:line="252" w:lineRule="auto"/>
        <w:rPr>
          <w:sz w:val="20"/>
          <w:szCs w:val="20"/>
          <w:color w:val="auto"/>
        </w:rPr>
      </w:pPr>
      <w:r>
        <w:rPr>
          <w:rFonts w:ascii="Times New Roman" w:cs="Times New Roman" w:eastAsia="Times New Roman" w:hAnsi="Times New Roman"/>
          <w:sz w:val="18"/>
          <w:szCs w:val="18"/>
          <w:color w:val="auto"/>
        </w:rPr>
        <w:t>We believe our existing cash and cash equivalents of $67.8 million as of March 31, 2019, our available revolving line of credit, and our revenue during the next 12 months will be sufficient to meet our anticipated cash requirements for at least the next 12 months. We expect that our near- and longer-term liquidity requirements will continue to consist of costs to run our laboratories, research and development expenses, selling and marketing expenses, general and administrative expenses, working capital, costs to service our Loan and Security Agreement, capital expenditures and general corporate expenses associated with the growth of our business. However, we may also use cash to acquire or invest in complementary businesses, technologies, services or products that would change our cash requirements. If we are not able to generate revenue to finance our cash requirements, we will need to finance future cash needs primarily through public or private equity offerings, debt financings, borrowings or strategic collaborations or licensing arrangements. If we raise funds by issuing equity securities, dilution to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restrictions on our cash pursuant to the terms of our Loan and Security Agreement and other operating restrictions that could adversely affect our ability to conduct our business. Our Loan and Security Agreement imposes restrictions on our operations, increases our fixed payment obligations and has restrictive covenants.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or forgo potential acquisitions or investments. In addition, we may have to work with a partner on one or more of our products or development programs, which could lower the economic value of those programs to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Offering of Common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30, 2018, we issued and sold 5,750,000 shares of common stock in a registered public offering, including shares issued and sold upon the underwriters’ exercise in full of their option to purchase an additional 750,000 shares, at a price to the public of $10.25 per share. Our net proceeds from the offering were approximately $55.0 million, after deducting underwriting discounts and commissions and estimated offering expenses of $3.9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and Security Agreement</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November 3, 2017, we entered into the Loan and Security Agreement with Silicon Valley Bank. The Loan and Security Agreement allows us to borrow up to $35.0 million, with a $25.0 million term loan, or Term Loan, and a revolving line of credit of up to $10.0 million, or the Revolving Line of Credit, subject to, with respect to the Revolving Line of Credit, a borrowing base of 85% of eligible accounts receivable. The Term Loan was advanced upon the closing of the Loan and Security Agreement. Borrowings under the Loan and Security Agreement mature in October 2022. The Term Loan bears interest at a variable rate equal to (i) the thirty-day U.S. London Interbank Offer Rate, or LIBOR, plus (ii) 4.20%, with a minimum rate of 5.43% per annum. Principal amounts outstanding under the Revolving Line of Credit bear interest at a variable rate equal to (i) LIBOR plus (ii) 3.50%, with a minimum rate of 4.70% per annum. We are also required to pay an annual facility fee on the Revolving Line of Credit of $25,000. The effective interest rate was 9.39% as of March 31, 2019.</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prepay the outstanding principal amount under the Term Loan plus accrued and unpaid interest and, if the Term Loan is repaid in full, a prepayment premium. The prepayment premium will equal (i) $750,000, if the prepayment is made on or before November 3, 2018, (ii) $500,000, if the prepayment is made after November 3, 2018 and on or prior to November 3, 2019 and (iii) $250,000, if the prepayment is made after November 3, 2019. In addition, a final payment on the Term Loan in the amount of $1.2 million is due upon the earlier of the maturity date of the Term Loan or its payment in full. In January 2019, we prepaid $12.5 million of the principal amount of the Term Loan and did not incur any prepayment premium as we did not repay the Term Loan in full. This prepayment covers scheduled principal payments from November 2019 to April 2021.</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Loan and Security Agreement contains customary representations, warranties, and events of default such as a material adverse change in our business, operations or financial conditions, as well as affirmative and negative covenants. The negative covenants include, among other provisions, covenants that limit or restrict our ability to incur liens, make investments, incur indebtedness, merge with or acquire other entities, dispose of assets, make dividends or other distributions to holders of our equity interests, engage in any new line of business, or enter into certain transactions with affiliates, in each case subject to certain exceptions. As of March 31, 2019, the principal balance outstanding was $12.5 million and we were in compliance with debt covenants.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Loan and Security Agreement also requires us to comply with certain financial covenants, including achieving certain revenue levels tested quarterly on a trailing twelve-month basis. However, failure to maintain the revenue levels will not be considered a default if the sum of our unrestricted cash and cash equivalents maintained with Silicon Valley Bank and amount available under the Revolving Line of Credit is at least $40.0 million.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obligations under the Loan and Security Agreement are secured by substantially all of our assets (excluding intellectual property), subject to certain customary exceptions.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months ended March 31, 2019 and 2018 (in thousands of dollars):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8"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8260" w:type="dxa"/>
            <w:vAlign w:val="bottom"/>
            <w:gridSpan w:val="2"/>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583"/>
        </w:trPr>
        <w:tc>
          <w:tcPr>
            <w:tcW w:w="1020" w:type="dxa"/>
            <w:vAlign w:val="bottom"/>
            <w:tcBorders>
              <w:top w:val="single" w:sz="8" w:color="0000EE"/>
            </w:tcBorders>
          </w:tcPr>
          <w:p>
            <w:pPr>
              <w:spacing w:after="0"/>
              <w:rPr>
                <w:sz w:val="24"/>
                <w:szCs w:val="24"/>
                <w:color w:val="auto"/>
              </w:rPr>
            </w:pPr>
          </w:p>
        </w:tc>
        <w:tc>
          <w:tcPr>
            <w:tcW w:w="7240" w:type="dxa"/>
            <w:vAlign w:val="bottom"/>
          </w:tcPr>
          <w:p>
            <w:pPr>
              <w:spacing w:after="0"/>
              <w:rPr>
                <w:sz w:val="24"/>
                <w:szCs w:val="24"/>
                <w:color w:val="auto"/>
              </w:rPr>
            </w:pPr>
          </w:p>
        </w:tc>
        <w:tc>
          <w:tcPr>
            <w:tcW w:w="3040" w:type="dxa"/>
            <w:vAlign w:val="bottom"/>
            <w:tcBorders>
              <w:bottom w:val="single" w:sz="8" w:color="auto"/>
            </w:tcBorders>
            <w:gridSpan w:val="5"/>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1020" w:type="dxa"/>
            <w:vAlign w:val="bottom"/>
            <w:tcBorders>
              <w:bottom w:val="single" w:sz="8" w:color="CCEEFF"/>
            </w:tcBorders>
          </w:tcPr>
          <w:p>
            <w:pPr>
              <w:spacing w:after="0"/>
              <w:rPr>
                <w:sz w:val="22"/>
                <w:szCs w:val="22"/>
                <w:color w:val="auto"/>
              </w:rPr>
            </w:pPr>
          </w:p>
        </w:tc>
        <w:tc>
          <w:tcPr>
            <w:tcW w:w="724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880" w:type="dxa"/>
            <w:vAlign w:val="bottom"/>
            <w:tcBorders>
              <w:bottom w:val="single" w:sz="8" w:color="CCEEFF"/>
            </w:tcBorders>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(7,413)</w:t>
            </w:r>
          </w:p>
        </w:tc>
      </w:tr>
      <w:tr>
        <w:trPr>
          <w:trHeight w:val="243"/>
        </w:trPr>
        <w:tc>
          <w:tcPr>
            <w:tcW w:w="8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7"/>
        </w:trPr>
        <w:tc>
          <w:tcPr>
            <w:tcW w:w="1020" w:type="dxa"/>
            <w:vAlign w:val="bottom"/>
          </w:tcPr>
          <w:p>
            <w:pPr>
              <w:spacing w:after="0"/>
              <w:rPr>
                <w:sz w:val="2"/>
                <w:szCs w:val="2"/>
                <w:color w:val="auto"/>
              </w:rPr>
            </w:pPr>
          </w:p>
        </w:tc>
        <w:tc>
          <w:tcPr>
            <w:tcW w:w="7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8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(used in) provided by financing activities</w:t>
            </w:r>
          </w:p>
        </w:tc>
        <w:tc>
          <w:tcPr>
            <w:tcW w:w="8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(8,394)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901</w:t>
            </w:r>
          </w:p>
        </w:tc>
      </w:tr>
      <w:tr>
        <w:trPr>
          <w:trHeight w:val="27"/>
        </w:trPr>
        <w:tc>
          <w:tcPr>
            <w:tcW w:w="1020" w:type="dxa"/>
            <w:vAlign w:val="bottom"/>
            <w:shd w:val="clear" w:color="auto" w:fill="CCEEFF"/>
          </w:tcPr>
          <w:p>
            <w:pPr>
              <w:spacing w:after="0"/>
              <w:rPr>
                <w:sz w:val="2"/>
                <w:szCs w:val="2"/>
                <w:color w:val="auto"/>
              </w:rPr>
            </w:pPr>
          </w:p>
        </w:tc>
        <w:tc>
          <w:tcPr>
            <w:tcW w:w="7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Cash used in operating activities for the three months ended March 31, 2019 was $1.0 million. The net loss of $1.9 million includes non-cash charges of $1.8 million of stock-based compensation expense and $0.9 million of depreciation and amortization, which includes $0.3 million of intangible asset amortization. Cash used as a result of changes in operating assets and liabilities was $1.8 million, comprised of an increase in accounts receivable of $3.4 million and increase in supplies of $0.4 million, partially offset by increases in accounts payable and accrued liabilities of $1.7 million and $0.3 million, respectively.</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Cash used in operating activities for the three months ended March 31, 2018 was $7.4 million. The net loss of $9.3 million includes non-cash charges of $1.2 million of stock-based compensation expense and $1.0 million of depreciation and amortization, which includes $0.3 million of intangible asset amortization. Cash used as a result of changes in operating assets and liabilities of $0.4 million was primarily due to an increase in accounts receivable of $0.5 million, a decrease in accounts payable of $0.5 million, and an increase in prepaid expenses and other assets of $0.4 million, partially offset by a decrease in supplies inventory of $0.8 million and an increase in accrued liabilities of $0.3 million, which included a commission accrual partially offset by the payment of annual bonuses.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three months ended March 31, 2019 was $0.7 million for the acquisition of property and equipment, net of proceeds from the disposal of property and equipment.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used in investing activities for the three months ended March 31, 2018 was $0.2 million for the acquisition of property and equipment.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for the three months ended March 31, 2019 was $8.4 million, consisting of $12.5 million of loan principal repayments and finance lease payments of $0.1 million, partially offset by $4.2 million in proceeds from the exercise of options to purchase our common stock and purchase of stock under our Employee Stock Purchase Plan, or ESPP, during the period.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for the three months ended March 31, 2018 was $0.9 million, consisting of $0.6 million in proceeds from the purchase of stock under our ESPP, and exercise of options to purchase our common stock and $0.4 million in proceeds from a legal settlement, partially offset by capital lease payments of $0.1 million during the period.</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Regarding our Loan and Security Agreement, in January 2019, the Company prepaid $12.5 million of the principal amount of the Term Loan Advance. As of March 31, 2019, future principal and end-of-term debt obligation payments due under the Loan and Security Agreement are $5.6 million in 2021 and $8.1 million in 2022. There were no other material changes during the interim period in the contractual obligations presented in our Form 10-K for the year ended December 31, 2018 filed with the Securities and Exchange Commission on February 25,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not entered into any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This ASU is aimed at making leasing activities more transparent and comparable, and requires substantially all leases be recognized by lessees on their balance sheet as a right-of-use asset and corresponding lease liability, including leases currently accounted for as operating leases. The ASU is effective for interim and annual periods beginning after December 15, 2018. Additionally, the FASB issued ASU No. 2018-11, </w:t>
      </w:r>
      <w:r>
        <w:rPr>
          <w:rFonts w:ascii="Times New Roman" w:cs="Times New Roman" w:eastAsia="Times New Roman" w:hAnsi="Times New Roman"/>
          <w:sz w:val="18"/>
          <w:szCs w:val="18"/>
          <w:i w:val="1"/>
          <w:iCs w:val="1"/>
          <w:color w:val="auto"/>
        </w:rPr>
        <w:t>Leases (Topic 842): Targeted Improvements</w:t>
      </w:r>
      <w:r>
        <w:rPr>
          <w:rFonts w:ascii="Times New Roman" w:cs="Times New Roman" w:eastAsia="Times New Roman" w:hAnsi="Times New Roman"/>
          <w:sz w:val="18"/>
          <w:szCs w:val="18"/>
          <w:color w:val="auto"/>
        </w:rPr>
        <w:t>, which offers an additional transition method whereby entities may apply the new leases standard at the adoption date and recognize a cumulative-effect adjustment to the opening balance of retained earnings rather than application of the new leases standard at the beginning of the earliest period presented in the financial statements. We elected this transition method and adopted ASC 842 on January 1, 2019 and as a result, we recorded operating lease right-of-use ("ROU") assets of $9.8 million, including offsetting deferred rent of $4.3 million, along with the associated operating lease liabilities of $14.1 million. On January 1, 2019, we had a finance lease ROU of $0.8 million and associated finance lease liabilities of $0.3 million for leases we classified as finance leases prior to the adoption of ASC 842. The adoption of ASC 842 had an immaterial impact on our condensed statement of operations and comprehensive loss, condensed statement of stockholders' equity and condensed statement of cash flows for the three-month period ended March 31, 2019. In addition, we elected the package of practical expedients permitted under the transition guidance within the new standard which allowed us to carry forward the historical lease classification. Additional information and disclosures required by this new standard are contained in Note 5, Commitments and Contingencies, in Part I of this Quarterly Report on Form 10-Q.</w:t>
      </w:r>
    </w:p>
    <w:p>
      <w:pPr>
        <w:spacing w:after="0" w:line="18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November 2018, the FASB issued ASU No. 2018-18, </w:t>
      </w:r>
      <w:r>
        <w:rPr>
          <w:rFonts w:ascii="Times New Roman" w:cs="Times New Roman" w:eastAsia="Times New Roman" w:hAnsi="Times New Roman"/>
          <w:sz w:val="18"/>
          <w:szCs w:val="18"/>
          <w:i w:val="1"/>
          <w:iCs w:val="1"/>
          <w:color w:val="auto"/>
        </w:rPr>
        <w:t>Collaborative Arrangements (Topic 808).</w:t>
      </w:r>
      <w:r>
        <w:rPr>
          <w:rFonts w:ascii="Times New Roman" w:cs="Times New Roman" w:eastAsia="Times New Roman" w:hAnsi="Times New Roman"/>
          <w:sz w:val="18"/>
          <w:szCs w:val="18"/>
          <w:color w:val="auto"/>
        </w:rPr>
        <w:t xml:space="preserve"> Under this ASU, transactions in collaborative arrangements are to be accounted for under ASC 606 if the counterparty is a customer for a good or service (or bundle of goods and services) that is a distinct unit of account. Also, entities are precluded from presenting consideration from transactions with a counterparty that is not a customer together with revenue recognized from ASC 606. This ASU is effective for all interim and annual reporting periods beginning on or after December 15, 2019, with early adoption permitted. We are currently evaluating the potential effect of this standard on our financial statements.</w:t>
      </w:r>
    </w:p>
    <w:p>
      <w:pPr>
        <w:sectPr>
          <w:pgSz w:w="11900" w:h="16838" w:orient="portrait"/>
          <w:cols w:equalWidth="0" w:num="1">
            <w:col w:w="11420"/>
          </w:cols>
          <w:pgMar w:left="240" w:top="114" w:right="239" w:bottom="6"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9019"/>
          </w:cols>
          <w:pgMar w:left="1440" w:top="364" w:right="1440"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rates. We had cash and cash equivalents of $67.8 million as of March 31, 2019 which include bank deposits and money market funds. Such interest-bearing instruments carry a degree of risk; however, a hypothetical 10% change in interest rates during any of the periods presented would not have had a material impact on our unaudited interim condensed financial statements. Under our Loan and Security Agreement, we pay interest on any outstanding balances under this agreement based on a variable market rate. A significant change in these market rates may adversely affect our operating results.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 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 13a-15(f) under the Exchange Act) identified in connection with the evaluation identified above that occurred during the three months ended March 31, 2019 that have materially affected, or are reasonably likely to materially affect, our internal control over financial reporting.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we expect to incur net losses for the foreseeable future and may never achieve or sustain profitability.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incurred net losses since our inception. For the three months ended March 31, 2019, we had a net loss of $1.9 million and as of March 31, 2019, we had an accumulated deficit of $236.0 million. We expect to incur additional losses in the future, and we may never achieve revenue sufficient to offset our expenses. Over the next couple of years, we expect to continue to devote substantially all of our resources to increase adoption of, and reimbursement for our Afirma, Percepta and Envisia Classifiers and the development of additional tests. We may never achieve or sustain profitability, and our failure to achieve and sustain profitability in the future could cause the market price of our common stock to decline.</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currently depend mainly on sales of our Afirma tests, and we will need to generate sufficient revenue from this and other diagnostic solutions to grow our business.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Most of our revenue to date has been derived from the sale of our Afirma tests, which are used in the diagnosis of thyroid cancer. Over the next few years, we expect to continue to derive a substantial portion of our revenue from sales of our Afirma tests. In the third quarter of 2017, we began recognizing revenue from the sale of our Percepta test, used in the diagnosis of lung cancer. We also launched our Envisia test to help improve the diagnosis of interstitial lung disease, specifically IPF, but revenue from Envisia has not been significant to date. Once genomic tests are clinically validated and commercially available for patient testing, we must continue to develop and publish evidence that our tests are informing clinical decisions in order for them to receive positive coverage decisions by payers. Without coverage policies, our tests may not be reimbursed and we will not be able to recognize revenue. We cannot guarantee that tests we commercialize will gain and maintain positive coverage decisions and therefore, we may never realize revenue from tests we commercialize. In addition, we are in various stages of research and development for other diagnostic solutions that we may offer, but there can be no assurance that we will be able to identify other diseases that can be effectively addressed or, if we are able to identify such diseases, whether or when we will be able to successfully commercialize solutions for these diseases and obtain the evidence and coverage decisions from payers. If we are unable to increase sales and expand reimbursement for our Afirma, Percepta and Envisia tests, or develop and commercialize other solutions, our revenue and our ability to achieve and sustain profitability would be impaired, and the market price of our common stock could decline.</w:t>
      </w:r>
    </w:p>
    <w:p>
      <w:pPr>
        <w:spacing w:after="0" w:line="1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few payers for a significant portion of our revenue and if one or more significant payers stops providing reimbursement or decreases the amount of reimbursement for our tests, our revenue could decline.</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Revenue for tests performed on patients covered by Medicare and UnitedHealthcare was 21% and 11%, respectively, of our revenue for the three months ended March 31, 2019, compared with 29% and 13%, respectively, for the three months ended March 31, 2018. The percentage of our revenue derived from significant payers is expected to fluctuate from period to period as our revenue fluctuates, as additional payers provide reimbursement for our tests or if one or more payers were to stop reimbursing for our tests or change their reimbursed amounts. Effective January 2012, Palmetto GBA, the regional Medicare Administrative Contractor, or MAC, that handled claims processing for Medicare services over our jurisdiction at that time, issued coverage and payment determinations for our Afirma Classifiers now covered by Noridian Healthcare Solutions, the current MAC for our jurisdiction, through the Molecular Diagnostics Services Program, or MolDX program, administered by Palmetto GBA, under a Local Coverage Determination, or LCD.</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Noridian Healthcare Solutions issued an LCD for Percepta effective for services performed on or after May 2017. This coverage policy requires us to establish and maintain a Certification and Training Registry program and make Percepta available only to certain Medicare patients through physicians who participate in this program. Failure by us or physicians to comply with the requirements of the Certification and Training Registry program could lead to loss of Medicare coverage for Percepta, which could have an adverse effect on our revenue.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submitted the dossier of clinical evidence needed to obtain Medicare coverage for the Envisia Genomic Classifier through the MolDX technical assessment process in 2018, and received final Medicare coverage for the classifier in March 2019, with an effective date of April 1, 2019.</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 five-year rotational basis, Medicare requests bids for its regional MAC services. Any future changes in the MAC processing or coding for Medicare claims for the Afirma, Percepta or Envisia classifiers could result in a change in the coverage or reimbursement rates for such products, or the loss of coverage, and could also result in increased difficulties in obtaining and maintaining coverage for future products.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March 1, 2015, an American Medical Association Current Procedural Terminology code, or CPT code, 81545 for the Afirma GEC was issued. On January 1, 2018, the Medicare Clinical Laboratory Fee Schedule payment rate for the Afirma classifier increased from $3,220 to $3,600. This rate is based on the volume-weighted median of private payer rates based on final payments made between January 1 and June 30, 2016, which we reported to the Centers for Medicare &amp; Medicaid Services, or CMS, in 2017 as required under the Protecting Access to Medicare Act of 2014, or PAMA. This payment rate will be effective through December 31, 2020. The next data reporting period will be in 2020 for final payments made between January 1 and June 30, 2019. The volume-weighted median of these private payer rates will set the Medicare payment rate for the Afirma classifier from January 1, 2021 through December 31, 2023. There can be no assurance that the rate will not decrease from $3,600 during this or a subsequent reporting cycle under PAMA.</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submit claims to Medicare for Percepta using an unlisted code and were paid at the rate of $3,220 in 2018 under the MolDX program. A specific CPT code assigned to Percepta may be required to go through the national payment determination process, and there can be no assurance that the Medicare payment rate the test receives through this process will not be lower than the current payment rate for Percepta. There can also be no assurance that the Medicare payment rate for Percepta will not be reduced when it is set based on volume-weighted median of private payer rates after the next reporting period under PAMA.</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there is a decrease in the Medicare payment rate for our tests, our revenue from Medicare will decrease and the payment rates for some of our commercial payers may also decrease if they tie their allowable rates to the Medicare rate. These changes could have an adverse effect on our business, financial condition and results of operations.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we have entered into contracts with certain third-party payers that establish in-network allowable rates of reimbursement for our Afirma tests, payers may suspend or discontinue reimbursement at any time, may require or increase co-payments from patients, or may reduce the reimbursement rates paid to us. Reductions in private payer amounts could decrease the Medicare payment rates for our tests under PAMA. In addition, private payers have begun requiring prior authorization for molecular diagnostic tests. Potential reductions in reimbursement rate or increases in the difficulty of achieving payment could have a negative effect on our revenue.</w:t>
      </w:r>
    </w:p>
    <w:p>
      <w:pPr>
        <w:spacing w:after="0" w:line="1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Physicians might not order our tests unless payers reimburse a substantial portion of the test price. There is significant uncertainty concerning third-party reimbursement of any test incorporating new technology, including our tests. Reimbursement by a payer may depend on a number of factors, including a payer’s determination that these tests are:</w:t>
      </w:r>
    </w:p>
    <w:p>
      <w:pPr>
        <w:spacing w:after="0" w:line="176"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experimental or investigational;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pre-authorized and appropriate for the specific patient;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supported by peer-reviewed publications;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clinical practice guidelines.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Since each payer makes its own decision as to whether to establish a coverage policy or enter into a contract to reimburse our tests, seeking these approvals is a time-consuming and costly process.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do not have a contracted rate of reimbursement with many payers for the Afirma, Percepta or Envisia tests. Without a contracted rate for reimbursement, our claims are often denied upon submission, and we must appeal the claims. The appeals process is time consuming and expensive, and may not result in payment. In cases where there is no contracted rate for reimbursement, there is typically a greater patient co-insurance or co-payment requirement which may result in further delay or decreased likelihood of collection. Payers may attempt to recoup prior payments after review, sometimes after significant time has passed, which would impact future revenue.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expect to continue to focus substantial resources on increasing adoption, coverage and reimbursement for the Afirma, Percepta, and Envisia classifiers as well as any other future tests we may develop. We believe it will take several years to achieve coverage and contracted reimbursement with a majority of third-party payers. However, we cannot predict whether, under what circumstances, or at what payment levels payers will reimburse for our tests. Also, payer consolidation is underway and creates uncertainty as to whether coverage and contracts with existing payers will remain in effect. Finally, if there is a decrease in the Medicare payment rate for our tests, the payment rates for some of our commercial payers may also decrease if they tie their allowable rates to the Medicare rate. Reductions in private payer amounts could decrease the Medicare payment rates for our tests under PAMA. Our failure to establish broad adoption of and reimbursement for our tests, or our inability to maintain existing reimbursement from payers, will negatively impact our ability to generate revenue and achieve profitability, as well as our future prospects and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limits on our revenue if physicians decide not to order our tests.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are unable to create or maintain demand for our tests in sufficient volume, we may not become profitable. To generate demand, we will need to continue to educate physicians about the benefits and cost-effectiveness of our tests through published papers, presentations at scientific conferences, marketing campaigns and one-on-one education by our sales force. In addition, our ability to obtain and maintain adequate reimbursement from third-party payers will be critical to generating revenue.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Afirma genomic classifier is included in most physician practice guidelines in the United States for the assessment of patients with thyroid nodules. However, historical practice recommended a full or partial thyroidectomy in cases where cytopathology results were indeterminate to confirm a diagnosis. Our lung products are not yet integrated into practice guidelines and physicians may be reluctant to order tests that are not recommended in these guidelines. Because our diagnostic services are performed by our certified laboratory under the Clinical Laboratory Improvement Amendments of 1988, or CLIA, rather than by the local laboratory or pathology practice, pathologists may be reluctant to support our testing services as well. Guidelines that include our classifiers currently may subsequently be revised to recommend another testing protocol, and these changes may result in physicians deciding not to use our tests. Lack of guideline inclusion could limit the adoption of our tests and our ability to generate revenue and achieve profitability. To the extent international markets have existing practices and standards of care that are different than those in the United States, we may face challenges with the adoption of our tests in international markets.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limits on our revenue if patients decide not to use our tests.</w:t>
      </w:r>
    </w:p>
    <w:p>
      <w:pPr>
        <w:spacing w:after="0" w:line="36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Some patients may decide not to use our tests because of price, all or part of which may be payable directly by the patient if the patient’s insurer denies reimbursement in full or in part. There is a growing trend among insurers to shift more of the cost of healthcare to patients in the form of higher co-payments or premiums, and this trend is accelerating which puts patients in the position of having to pay more for our tests. We expect to continue to see pressure from payers to limit the utilization of tests, generally, and we believe more payers are deploying costs containment tactics, such as pre-authorization and employing laboratory benefit managers to reduce utilization rates. Implementation of provisions of the Patient Protection and Affordable Care Act, as amended by the Health Care and Education Affordability Reconciliation Act, collectively the ACA, has also resulted in increases in premiums and reductions in coverage for some patients. In addition, Congressional efforts to repeal the ACA could result in an increase in uninsured patients. These events may result in patients delaying or forgoing medical checkups or treatment due to their inability to pay for our tests, which could have an adverse effect on our revenue.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to how we recognize revenue, our quarterly operating results are likely to fluctuate.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recognize test revenue upon delivery of the patient report to the prescribing physician based on the amount we expect to ultimately realize. We determine the amount we expect to ultimately realize based on payer reimbursement history, contracts, and coverage. Upon ultimate collection, the amount received is compared to the estimates and the amount accrued is adjusted accordingly. We cannot be certain as to when we will receive payment for our diagnostic tests, and we must appeal negative payment decisions, which delays collections. Should judgments underlying estimated reimbursement change or were incorrect at the time we accrued such revenue, our financial results could be negatively impacted in future quarters. As a result, comparing our operating results on a period-to-period basis may not be meaningful. You should not rely on our past results as an indication of our future performance. In addition, these fluctuations in revenue may make it difficult for us, for research analysts and for investors to accurately forecast our revenue and operating results. If our revenue or operating results fall below expectations, the price of our common stock would likely decline.</w:t>
      </w:r>
    </w:p>
    <w:p>
      <w:pPr>
        <w:spacing w:after="0" w:line="18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and state licensing requirements, we could lose the ability to perform our tests or experience disruptions to our business.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personal qualifications, facilities administration, quality systems, inspections, and proficiency testing. CLIA certification is also required for us to be eligible to bill state and federal healthcare programs, as well as many private third-party payers. To renew these certifications, we are subject to survey and inspection every two years. Moreover, CLIA inspectors may make random inspections of our clinical reference laboratories. As discussed in our Annual Report on Form 10-K for the year ended December 31, 2018 in the section titled “Business-Regulation-Clinical Laboratory Improvement Act of 1988, or CLIA,” following a routine July 2018 survey of our Austin laboratory location, in September 2018, CMS determined that because we only collected and processed patient specimens and TCP, rather than us, performed the patient testing from the Austin laboratory, we did not require a CLIA certificate for the laboratory. As a result, CMS inactivated our Austin laboratory’s CLIA number effective July 2018. While CMS recently reinstated our CLIA number effective as of February 2019, we reversed $0.6 million in previously recognized revenue associated with claims for cytopathology diagnostic services furnished after the date of the July 2018 survey and prior to the reinstatement date. If we in the future fail to maintain CLIA certificates in our South San Francisco or Austin, Texas laboratory locations we would be unable to bill for services provided by state and federal healthcare programs, as well as many private third-party payers, which may have an adverse effect on our business, financial condition and results of operations.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also required to maintain state licenses to conduct testing in our laboratories. California, New York, Texas, among other states’ laws, require that we maintain a license and comply with state regulation as a clinical laboratory. Other states may have similar requirements or may adopt similar requirements in the future. In addition, both of our clinical laboratories are required to be licensed on a test-specific basis by New York State. We have received approval for the Afirma and Percepta tests. We will be required to obtain approval for other tests we may offer in the future. If we were to lose our CLIA certificate or California license for our South San Francisco laboratory, whether as a result of revocation, suspension or limitation, we would no longer be able to perform our molecular tests, which would eliminate our primary source of revenue and harm our business. If we fail to meet the state licensing requirements for our Austin laboratory, we would need to move the receipt and storage of FNAs, as well as the slide preparation for cytopathology, to South San Francisco, which could result in a delay in processing tests during that transition and increased costs. If we were to lose our licenses issued by New York or by other states where we are required to hold licenses, we would not be able to test specimens from those states. New tests we may develop may be subject to new approvals by regulatory bodies such as New York State, and we may not be able to offer our new tests until such approvals are received.</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sole suppliers for some of the reagents, equipment, chips and other materials used to perform our tests, and we may not be able to find replacements or transition to alternative suppliers.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rely on sole suppliers for critical supply of reagents, equipment, chips and other materials that we use to perform our tests. We also purchase components used in our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the alternative sources will be available when we need them. If these suppliers can no longer provide us with the materials we need to perform the tests and for our collection kits, if the materials do not meet our quality specifications or are otherwise unusable, if we cannot obtain acceptable substitute materials, or if we elect to change suppliers, an interruption in test processing could occur, we may not be able to deliver patient reports and we may incur higher one-time switching costs.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supplies were available. If our test volume decreases or we switch suppliers, we may hold excess supplies with expiration dates that occur before use which would adversely affect our losses and cash flow position. As we introduce any new test, we may experience supply issues as we ramp test volume.</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specialized cytopathology practice to perform the cytopathology component of our Afirma test, and our ability to perform our diagnostic solution would be harmed if we were required to secure a replacement.</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rely on Thyroid Cytopathology Partners, or TCP, to provide cytopathology professional diagnoses on thyroid fine needle aspiration, or FNA, samples pursuant to a pathology services agreement. Pursuant to this agreement, as amended, TCP has the exclusive right to provide our cytopathology diagnoses on FNA samples at a fixed price per test. Until February 2019, TCP also previously subleased a portion of our facility in Austin, Texas. Our agreement with TCP is effective through October 31, 2022, and thereafter automatically renews every year unless either party provides notice of intent not to renew at least 12 months prior to the end of the then-current term.</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TCP were not able to support our current test volume or future increases in test volume or to provide the quality of services we require, or if we were unable to agree on commercial terms and our relationship with TCP were to terminate, our business would be harmed until we were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Afirma tests until a replacement was fully integrated with our test processing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manage our future growth effectively, which could make it difficult to execute our business strategy.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the need to scale our testing capacity,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 Rapid and significant growth may place strain on our administrative, financial and operational infrastructure. Our ability to manage our business and growth will require us to continue to improve our operational, financial and management controls, reporting systems and procedures. We have implemented an internally-developed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If we are unable to manage our growth effectively, it may be difficult for us to execute our business strategy and our business could be harmed.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support demand for our commercial tests, our business could suffer.</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demand for our tests grows,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quality control issues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healthcare policy, including legislation reforming the U.S. healthcare system, may have a material adverse effect on our financial condition and operations.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ACA, enacted in March 2010, made changes that significantly affected the pharmaceutical and medical device industries and clinical laboratories. Effective January 1, 2013, the ACA included a 2.3% excise tax on the sale of certain medical devices sold outside of the retail setting. Although a moratorium has been imposed on this excise tax for 2016 through 2019, the excise tax is scheduled to be restored in 2020.</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Other significant measures contained in the 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ACA also includes significant new fraud and abuse measures, including required disclosures of financial arrangements with physician customers, lower thresholds for violations and increasing potential penalties for such violations.</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beginning of 2017, the U.S. Congress and the Administration took actions to repeal the ACA and indicated an intent to replace it with another act and efforts to repeal or amend the ACA are ongoing. We cannot predict if, or when, the ACA will be repealed or amended, and cannot predict the impact that an amendment or repeal of the ACA will have on our business.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ACA, various healthcare reform proposals have also periodically emerged from federal and state governments. For example, in February 2012, Congress passed the Middle Class Tax Relief and Job Creation Act of 2012, which in part reset the clinical laboratory payment rates on the Medicare Clinical Laboratory Fee Schedule, or CLFS, by 2% in 2013. In addition, under the Budget Control Act of 2011, which is effective for dates of service on or after April 1, 2013, Medicare payments, including payments to clinical laboratories, are subject to a reduction of 2% due to the automatic expense reductions (sequester) until fiscal year 2024. Reductions resulting from the Congressional sequester are applied to total claims payment made; however, they do not currently result in a rebasing of the negotiated or established Medicare or Medicaid reimbursement rates.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State legislation on reimbursement applies to Medicaid reimbursement and managed Medicaid reimbursement rates within that state. Some states have passed or proposed legislation that would revise reimbursement methodology for clinical laboratory payment rates under those Medicaid programs. For example, effective July 2015, California’s Department of Health Care Services implemented a new rate methodology for clinical laboratories and laboratory services. This methodology involves the use of a range of rates that fell between zero and 80% of the calculated California-specific Medicare rate and the calculation of a weighted average (based on units billed) of such rates.</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cannot predict whether future healthcare initiatives will be implemented at the federal or state level or in countries outside of the United States in which we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subject our business to foreign regulatory requirements and cost-reduction measures, which may also change over time.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Ongoing calls for deficit reduction at the federal government level and reforms to programs such as the Medicare program to pay for such reductions may affect the pharmaceutical, medical device and clinical laboratory industries. Currently, clinical laboratory services are excluded from the Medicare Part B co-insurance and co-payment as preventative services. Any requirement for clinical laboratories to collect co-payments from patients may increase our costs and reduce the amount ultimately collected.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CMS bundles payments for clinical laboratory diagnostic tests together with other services performed during hospital outpatient visits under the Hospital Outpatient Prospective Payment System. CMS currently maintains an exemption for molecular pathology tests from this bundling provision. It is possible that this exemption could be removed by CMS in future rule making, which might result in lower reimbursement for tests performed in this setting.</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PAMA includes a substantial new payment system for clinical laboratory tests under the CLFS. Under PAMA, laboratories that receive the majority of their Medicare revenues from payments made under the CLFS and the Physician Fee Schedule would report on triennial bases (or annually for advanced diagnostic laboratory tests, or ADLTs), private payer rates and volumes for their tests with specific CPT codes based on final payments made during a set data collection period (the first of which was January 1 through June 30, 2016). We believe that PAMA and its implementing regulations are generally favorable to us. We reported to CMS the data required under PAMA before the March 31, 2017 deadline. The new payment rate for the Afirma genomic classifier based on the volume-weighted median of private payer rates took effect January 1, 2018, increasing from $3,220 to $3,600 through December 31, 2020. The next data reporting period will be in 2020 for final payments made between January 1 and June 30, 2019. The volume weighted median of these private payer rates will set the Medicare payment rate for the Afirma classifier from January 1, 2021 through December 31, 2023. There can be no assurance that the payment rate for Afirma will not decrease in the future or that the payment rates for Percepta or Envisia will not be adversely affected by the PAMA law and regulations.</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our Afirma genomic classifier as well as our Percepta and Envisia classifiers would be considered ADLTs under PAMA. The initial payment rate (for a period not to exceed nine months) under PAMA for a new ADLT (an ADLT for which payment has not been made under the CLFS prior to January 1, 2018) will be set at the “actual list charge” for the test as reported by the laboratory. Insofar as the actual list charge substantially exceeds private payer rates (by more than 30%), CMS will have the ability to recoup excess payments made during the initial nine-month payment period. We can determine whether to seek ADLT status for our tests, but there can be no assurance that our tests will be designated ADLTs or that the payment rates for our tests will not be adversely affected by such designation.</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have also been recent and substantial changes to the payment structure for physicians, including those passed as part of the Medicare Access and CHIP Reauthorization Act of 2015, or MACRA, which was signed into law on April 16, 2015. MACRA created the Merit-Based Incentive Payment System which, beginning in 2019, more closely aligns physician payments with composite performance on performance metrics similar to three existing incentive programs (i.e., the Physician Quality Reporting System, the Value-based modifier program and the Electronic Health Record Meaningful Use program) and incentivizes physicians to enroll in alternative payment methods. At this time, we do not know whether these changes to the physician payment systems will have any impact on orders or payments for our tests.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2016, Congress passed the 21st Century Cures Act, which, among other things, revised the process for LCDs. Additionally, effective June 11, 2017, a MAC is required to, among other things, publish a summary of the evidence that it considered when developing an LCD, including a list of sources, and an explanation of the rationale that supports the MAC’s determinations. In October 2018, CMS issued additional guidance revising the requirements for the development of LCDs. We cannot predict whether these revisions will delay future LCDs and result in impeded coverage for our test products, which could have a material negative impact on revenue.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of Medicare billing rules, we may not receive reimbursement for all tests provided to Medicare patients.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Under previous Medicare billing rules, hospitals were required to bill for our tests when performed on Medicare beneficiaries who were hospital outpatients at the time of tissue specimen collection when these tests were ordered less than 14 days following the date of the patient's discharge.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Effective January 1, 2018, CMS revised its billing rules to allow the performing laboratory to bill Medicare directly for molecular pathology tests performed on specimens collected from hospital outpatients, even when those tests are ordered less than 14 days after the date of discharge, if certain conditions are met. We believe that our Afirma, Percepta, and Envisia classifiers should be covered by this policy. Accordingly, we bill Medicare for these tests when we perform them on specimens collected from hospital outpatients and meet the conditions set forth in CMS's revised billing rules.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change does not apply to tests performed on specimens collected from hospital inpatients. We will continue to bill hospitals for tests performed on specimens collected from hospital inpatients when the test was ordered less than 14 days after the date of discharge. While we believe the impact of these revisions are favorable to us, we cannot predict with certainty the impact on our business. CMS may change this regulatory policy in the future, which could negatively impact our business.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we must maintain CLIA compliance and certification to sell our tests and be eligible to bill for diagnostic services provided to Medicare beneficiaries.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FDA were to begin regulating our tests, we could incur substantial costs and delays associated with trying to obtain premarket clearance or approval.</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Clinical laboratory tests have long been subject to comprehensive regulations under CLIA, as well as by applicable state laws. Most laboratory developed tests, or LDTs, are not currently subject to regulation under the FDA's enforcement discretion policy, although reagents, instruments, software or components provided by third parties and used to perform LDTs may be subject to regulation. While the FDA maintains its authority to regulate LDTs, it has chosen to exercise its enforcement discretion not to enforce the premarket review and other applicable medical device requirements for LDTs. We believe that the Afirma, Percepta and Envisia classifiers are LDTs that fall under the FDA's enforcement discretion policy. In October 2014, the FDA issued draft guidance, entitled "Framework for Regulatory Oversight of LDTs," proposing a risk-based framework of oversight and a phased-in enforcement of premarket review requirements for most LDTs. In 2016, the FDA announced that it would not be finalizing the guidance.</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January 2017, the FDA issued a "Discussion Paper on Laboratory Developed Tests" following input it received from multiple stakeholders who had commented on its 2014 draft guidance. The FDA specifically states in its Discussion Paper that the proposals contained in the document do not represent a final version of the LDT draft guidance documents and are only designed to provide a possible approach to spark further dialogue. The suggested LDT framework could grandfather many types of LDTs without requiring new premarket review or quality management requirements. It also suggests a four-year phased implementation of the premarket review requirements for some types of tests. In a December 2018 statement, FDA said that there is a need for “a unified approach to the regulation of in vitro clinical tests to protect patient safety, support innovation, and keep pace with the rapidly evolving technology that’s helping us find new treatments for disease.” FDA listed key principles of an approach it would support.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March 2017, a draft bill on the regulation of LDTs, entitled "The Diagnostics Accuracy and Innovation Act", or DAIA, was released for discussion. In December 2018, the sponsors of DAIA released a new version of the legislation called the “Verifying Accurate, Leading-edge IVCT Development Act, or VALID Act. The VALID Act proposes a risk-based approach to regulate LDTs and creates a new in vitro clinical test category, which includes LDTs, and a regulatory structure under the FDA. As proposed, the bill would create a precertification program for lower risk tests not otherwise required to go through premarket review. It would grandfather existing tests but would allow FDA to subject otherwise grandfathered tests to premarket review under certain conditions. We cannot predict whether this draft bill will become legislation and cannot quantify the effect of this draft bill on our business.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FDA were to require us to seek clearance or approval for our existing tests or any of our future products for clinical use, we may not be able to obtain such approvals on a timely basis, or at all. While we believe our current tests would likely qualify for the “grandfathered” tests treatment, there can be no assurance of what the FDA might ultimately require if it issued final guidance. If premarket reviews were required, our business could be negatively impacted if we were required to stop selling our products pending their clearance or approval. In addition, the launch of any new products that we develop could be delayed by the implementation of future FDA guidance. The cost of complying with premarket review requirements, including obtaining</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clinical data, could be significant. In addition, future regulation by the FDA could subject our business to further regulatory risks and costs. Failure to comply with applicable regulatory requirements of the FDA could result in enforcement action, including receiving untitled or warning letters, fines, injunctions, or civil or criminal penalties. Any such enforcement action would have a material adverse effect on our business, financial condition and operations. In addition, our sample collection containers are listed as Class I devices with the FDA. If the FDA were to determine that they are not Class I devices, we would be required to file 510(k) applications and obtain FDA clearance to use the containers, which could be time consuming and expensive.</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Some of the materials we use for our tests and that we may use for future tests are labeled for research use-only, or RUO, or investigational-use only, or IUO. In November 2013, the FDA finalized guidance regarding the sale and use of products labeled RUO or IUO. Among other things, the guidance advises that the FDA continues to be concerned about distribution of research or investigational-use only products intended for clinical diagnostic use and that the manufacturer’s objective intent for the product’s intended use will be determined by examining the totality of circumstances, including advertising, instructions for clinical interpretation, presentations that describe clinical use, and specialized technical support, surrounding the distribution of the product in question. The FDA has advised that if evidence demonstrates that a product is inappropriately labeled for research or investigational-use only, the device would be considered misbranded and adulterated within the meaning of the Federal Food, Drug and Cosmetic Act. Some of the reagents, instruments, software or components obtained by us from suppliers for use in our products are currently labeled as RUO or IUO. If the FDA were to determine that any of these reagents, instruments, software or components are improperly labeled RUO or IUO and undertake enforcement actions, some of our suppliers might cease selling these reagents, instruments, software or components to us, and any failure to obtain an acceptable substitute could significantly and adversely affect our business, financial condition and results of operations, including increasing the cost of testing or delaying, limiting or prohibiting the purchase of reagents, instruments, software or components necessary to perform testing.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compete successfully, we may be unable to increase or sustain our revenue or achieve profitability.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principal competition for our tests comes from traditional methods used by physicians to diagnose and manage patient care decisions. For example, with our Afirma genomic classifier,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need to continue to educate physicians about the benefits of the Afirma genomic classifier to change clinical practice.</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face competition from companies and academic institutions that use next generation sequencing technology or other methods to measure mutational markers such as BRAF and KRAS, along with numerous other mutations. These organizations include Interpace Diagnostics Group, Inc., CBLPath, Inc./University of Pittsburgh Medical Center and others who are developing new products or technologies that may compete with our tests. In the future, we may also face competition from companies developing new products or technologies.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 the Percepta and Envisia tests, we believe our primary competition will similarly come from traditional methods used by physicians to diagnose the related diseases. For the Percepta test, we expect competition from companies focused on lung cancer such as Oncocyte Corporation and Oncimmune Holdings PLC. We also anticipate facing potential competition from companies offering or developing approaches for assessing malignancy risk in patients with lung nodules using alternative samples, such as blood, urine or sputum, including Biodesix, Inc. and Guardant Health, Inc. However, such “liquid biopsies” are often used earlier in the diagnostic paradigm — for instance, to screen for cancer — or to gauge risk of recurrence or response to treatment.</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general, we also face competition from commercial laboratories, such as Laboratory Corporation of America Holdings and Sonic Healthcare USA, with strong infrastructure to support the commercialization of diagnostic services. We face potential competition from companies such as Illumina, Inc. and Thermo Fisher Scientific Inc., both of which have entered the clinical diagnostics market. Other potential competitors include companies that develop diagnostic products, such as Roche Diagnostics, a division of Roche Holding Ltd, Siemens AG and Qiagen N.V.</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competitors may develop their own versions of our solutions in countries we may seek to enter where we do not have patents or where our intellectual property rights are not recognized and compete with us in those countries, including encouraging the use of their solutions by physicians in other countries.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compete successfully, we must be able to demonstrate, among other things, that our diagnostic test results are accurate and cost effective, and we must secure a meaningful level of reimbursement for our products.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solutions, or offer solutions at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and services, we will face many of these same competitive risks for these new tests.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members of our senior management team or our inability to attract and retain key personnel could adversely affect our business.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success depends largely on the skills, experience and performance of key members of our executive management team and others in key management positions. The efforts of each of these persons together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our research and development programs and commercial laboratory operations depend on our ability to attract and retain highly skilled scientists. We may not be able to attract or retain qualified scientists and technicians in the future due to the intense competition for qualified personnel among life science businesses, particularly in the San Francisco Bay Area. Our success in the development and commercialization of advanced diagnostics requires a significant medical and clinical staff to conduct studies and educate physicians and payers on the merits of our tests in order to achieve adoption and reimbursement. We are in a highly competitive industry to attract and retain this talent. Additionally, our success depends on our ability to attract and retain qualified sales people. We recently significantly expanded our sales force as we invest in our multi-product sales strategy, which includes assignment of a single contact to successfully develop and implement relationships with our customers. There can be no assurance that we will be successful in maintaining and growing our business. Additionally, as we increase our sales channels for new tests we commercialize, including the Percepta and Envisia tests, we may have difficulties recruiting and training additional sales personnel or retaining qualified salespeople, which could cause a delay or decline in the rate of adoption of our tests. As a public company located in the San Francisco Bay Area, we also face intense competition for highly skilled finance and accounting personnel. If we are unable to attract and retain finance and accounting personnel experienced in public company financial reporting, we risk being unable to close our books and file our public documents on a timely basis. Finally, our business requires specialized capabilities in reimbursement, billing,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 sales and reimbursement, billing and finance efforts. All of our employees are at will, which means that either we or the employee may terminate their employment at any time. We do not carry key man insurance for any of our employees.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Billing for our diagnostic tests is complex, and we must dedicate substantial time and resources to the billing process to be paid.</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Billing for clinical laboratory testing services is complex, time-consuming and expensive. Depending on the billing arrangement and applicable law, we bill various payers, including Medicare, insurance companies and patients, all of which have different billing requirements. We generally bill third-party payers for our diagnostic tests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accounts receivable and long collection cycles, which could adversely affect our business, results of operations and financial condition.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Several factors make the billing process complex, including:</w:t>
      </w:r>
    </w:p>
    <w:p>
      <w:pPr>
        <w:spacing w:after="0" w:line="225"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list price for our tests and the reimbursement rates of payers;</w:t>
      </w:r>
    </w:p>
    <w:p>
      <w:pPr>
        <w:spacing w:after="0" w:line="225" w:lineRule="exact"/>
        <w:rPr>
          <w:rFonts w:ascii="Times New Roman" w:cs="Times New Roman" w:eastAsia="Times New Roman" w:hAnsi="Times New Roman"/>
          <w:sz w:val="18"/>
          <w:szCs w:val="18"/>
          <w:color w:val="auto"/>
        </w:rPr>
      </w:pPr>
    </w:p>
    <w:p>
      <w:pPr>
        <w:ind w:left="980" w:hanging="324"/>
        <w:spacing w:after="0" w:line="329" w:lineRule="auto"/>
        <w:tabs>
          <w:tab w:leader="none" w:pos="10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federal and state regulations related to billing government payers, such as Medicare and Medicaid, including requirements to have an active CLIA certificate;</w:t>
      </w:r>
    </w:p>
    <w:p>
      <w:pPr>
        <w:spacing w:after="0" w:line="33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government audits related to billing Medicare and other government payers;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among payers as to which party is responsible for payment;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coverage and in information and billing requirements among payers, including the need for prior authorization and/or advanced notification;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patient co-payments or co-insurance;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billing codes used for our tests;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missing billing information;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resources required to manage the billing and claims appeals process.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use standard industry billing codes, known as CPT codes, to bill for cytopathology. In addition, we use the CPT code 81545 to bill for our Afirma classifier. CPT codes do not exist for our other proprietary molecular diagnostic tests. Therefore, until such time that we are assigned and are able to use a designated CPT code specific to Percepta and Envisia, we use “unlisted” codes for claim submissions, which can lead to delays in payers adjudicating our claims or denying payment altogether. Moreover, these codes can change over time. When codes change, there is a risk of an error being made in the claim adjudication process. These errors can occur with claims submission, third-party transmission or in the processing of the claim by the payer. Claim adjudication errors may result in a delay in payment processing or a reduction in the amount of the payment received. Coding changes, therefore, may have an adverse effect on our revenues. Even when we receive a designated CPT code specific to our tests, such as the 81545 code for the Afirma GEC that became effective January 1, 2016, there can be no assurance that payers will recognize these codes in a timely manner or that the process of transitioning to such a code and updating their billing systems and ours will not result in errors, delays in payments and a related increase in accounts receivable balances.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we introduce new tests,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Correct coding is subject to the coding policies of the American Medical Association CPT Editorial Panel, or AMA CPT. With respect to claims submitted to Medicare and Medicaid, it is also subject to coding policies developed through the National Correct Coding Initiative, or NCCI. Other payers may develop their own payer-specific coding policies. The broader coding policies of the AMA CPT, NCCI, and other payers are subject to change. For instance, the NCCI recently adopted an update to its Coding Policy Manual effective January 1, 2019, to limit instances when multiple codes may be billed for molecular pathology testing. Such coding policy changes may negatively affect our revenues and cash flow.</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 further complexity to the billing process. If the payer makes an overpayment determination, there is a risk that we may be required to return some portion of prior payments we have received. Additionally, the ACA established a requirement for providers and suppliers to report and return any overpayments received from government payers under the Medicare and Medicaid programs within 60 days of identification. Failure to identify and return such overpayments exposes the provider or supplier to liability under federal false claims laws. These billing complexities, and the related uncertainty in obtaining payment for our tests, could negatively affect our revenue and cash flow, our ability to achieve profitability, and the consistency and comparability of our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a third-party provider to transmit claims to payers, and any delay in transmitting claims could have an adverse effect on our revenue.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Additionally, coding for diagnostic tests may change, and such changes may cause short-term billing errors that may take significant time to resolve. If claims are not submitted to payers on a timely basis or are erroneously submitted, or if we are required to switch to a different provider to handle claim submissions, we may experience delays in our ability to process these claims and receipt of payments from payers, or possibly denial of claims for lack of timely submission, which would have an adverse effect on our revenue and our business.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internal sales force is less successful than anticipated, our business expansion plans could suffer and our ability to generate revenues could be diminished. In addition, we have limited history selling our molecular diagnostics tests on a direct basis and our limited history makes forecasting difficult.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our internal sales force is not successful, or new additions to our sales team fail to gain traction among our customers, we may not be able to increase market awareness and sales of our molecular diagnostic tests. If we fail to establish our molecular diagnostic tests in the marketplace, it could have a negative effect on our ability to sell subsequent molecular diagnostic tests and hinder the desired expansion of our business. We have growing, however limited, historical experience forecasting the direct sales of our molecular diagnostics products. Our ability to produce test volumes that meet customer demand is dependent upon our ability to forecast accurately and plan production capacities accordingly.</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Developing new products involves a lengthy and complex process, and we may not be able to commercialize on a timely basis, or at all, other products we are developing.</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continually seek to develop enhancements to our current test offerings and additional diagnostic solutions that requires us to devote considerable resources to research and development. There can be no assurance that we will be able to identify other diseases that can be effectively addressed with our molecular cytology platform. In addition, if we identify such diseases, we may not be able to develop products with the diagnostic accuracy necessary to be clinically useful and commercially successful. We may face challenges obtaining sufficient numbers of samples to validate a genomic signature for a molecular diagnostic product. After launching new products, we still must complete studies that meet the clinical evidence required to obtain reimbursement.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order to develop and commercialize diagnostic tests, we need to:</w:t>
      </w:r>
    </w:p>
    <w:p>
      <w:pPr>
        <w:spacing w:after="0" w:line="225"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funds to conduct substantial research and development;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successful analytical and clinical studies;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our laboratory processes to accommodate new tests;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the commercial infrastructure to market and sell new products.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product development process involves a high degree of risk and may take several years. Our product development efforts may fail for many reasons, including:</w:t>
      </w:r>
    </w:p>
    <w:p>
      <w:pPr>
        <w:spacing w:after="0" w:line="162"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a genomic signature in biomarker discovery;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secure sufficient numbers of samples at an acceptable cost and on an acceptable timeframe to conduct analytical and clinical studies; 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validation studies to support the effectiveness of the test.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prospectively-defined endpoints of the study or if we fail to sufficiently demonstrate analytical validity, we might choose to abandon the development of the product, which could harm our business. In addition, competitors may develop and commercialize competing products or technologies faster than us or at a lower cost.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enter into new clinical study collaborations, our product development and subsequent commercialization could be delayed.</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 with many companies at once, which can extend the time it takes to develop, negotiate and implement a collaboration. Moreover, it may take longer to obtain the samples we need which could delay our trials, publications, and product launches and reimbursement. Additionally, organizations often insist on retaining the rights to publish the clinical data resulting from the collaboration. The publication of clinical data in peer-reviewed journals is a crucial step in commercializing and obtaining reimbursement for our diagnostic tests, and our inability to control when and if results are published may delay or limit our ability to derive sufficient revenue from them.</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products to keep pace with rapid technological, medical and scientific change, our operating results and competitive position could be harmed.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previously acquired companies and we may pursue additional acquisitions of complementary businesses or assets, as well as technology licensing arrangements as part of our business strategy. We also may pursue strategic alliances that leverage our core technology and industry experience to expand our offerings or distribution, or make investments in other companies. To date, we have limited experience with respect to acquisitions and the formation of strategic alliances and joint ventures. We may not be able to integrate acquisitions successfully into our existing business, and we could assume unknown or contingent liabilities. In addition, we may not realize the expected benefits of an acquisition or investment. Any acquisitions made by us also could result in significant write-offs or the incurrence of debt and contingent liabilities, any of which could harm our operating results. Integration of acquired companies or businesses we may acquire in the future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finance any acquisitions or investments, we may choose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 If these funds are raised through the sale of equity or convertible debt securities, dilution to our stockholders could result. Our Loan and Security Agreement with Silicon Valley Bank contains covenants that could limit our ability to sell debt securities or obtain additional debt financing arrangements, which could affect our ability to finance acquisitions or investments other than through the issuance of stock.</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Loan and Security Agreement provides our lenders with a first-priority lien against substantially all of our assets, excluding our intellectual property, and contains financial covenants and other restrictions on our actions, which could limit our operational flexibility and otherwise adversely affect our financial condition.</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Loan and Security Agreement restricts our ability to, among other things, incur liens, make investments, incur indebtedness, merge with or acquire other entities, dispose of assets, make dividends or other distributions to holders of its equity interests, engage in any new line of business, or enter into certain transactions with affiliates, in each case subject to certain exceptions. It also requires us to achieve certain revenue levels tested quarterly on a trailing twelve-month basis. However, failure to maintain the revenue levels will not be considered a default if the sum of our unrestricted cash and cash equivalents maintained with Silicon Valley Bank and amount available under the revolving line of credit is at least $40.0 million. Our ability to comply with these and other covenants is dependent upon a number of factors, some of which are beyond our control.</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failure to comply with the financial covenants, or the occurrence of other events specified in our Loan and Security Agreement, could result in an event of default under the Loan and Security Agreement, which would give our lenders the right to terminate their commitments to provide additional loans under the Loan and Security Agreement and to declare all borrowings outstanding, together with accrued and unpaid interest and fees, to be immediately due and payable. In addition, we have granted our lenders a first-priority lien against all of our assets, excluding our intellectual property, as collateral. Failure to comply with the covenants or other restrictions in the Loan and Security Agreement could result in a default. If the debt under our Loan and Security Agreement was to be accelerated, we may not have sufficient cash on hand or be able to sell sufficient collateral to repay it, which would have an immediate adverse effect on our business and operating results. This could potentially cause us to cease operations and result in a complete loss of your investment in our common stock.</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operations are subject to other extensive federal, state, local, and foreign laws and regulations, all of which are subject to change. These laws and regulations currently include, among others: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left="980" w:hanging="324"/>
        <w:spacing w:after="0" w:line="258"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established comprehensive federal standards with respect to the privacy and security of protected health information and requirements for the use of certain standardized electronic transactions, and amendments made in 2013 to HIPAA under the Health Information Technology for Economic and Clinical Health Act, or HITECH, which strengthen and expand HIPAA privacy and security compliance requirements, increase penalties for violators, extend enforcement authority to state attorneys general, and impose requirements for breach notification;</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Medicare billing and payment regulations applicable to clinical laboratories, including requirements to have an active CLIA certificate;</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(and state equivalents),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healthcare program;</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Eliminating Kickbacks in Recovery Act of 2018, or EKRA, which prohibits the solicitation, receipt, payment or offering of any remuneration in return for referring a patient or patronage to a recovery home, clinical treatment facility, or laboratory for services covered by both government and private payers;</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180"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76"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imposes liability on any person or entity who knowingly presents, or causes to be presented, a false, fictitious, or fraudulent claim for payment to the federal government;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federal and state fraud and abuse laws, such as anti-kickback laws, prohibitions on self-referral, fee-splitting restrictions, prohibitions on the provision of products at no or discounted cost to induce physician or patient adoption, and false claims acts, which may extend to services reimbursable by any third-party payer, including private insurers;</w:t>
      </w:r>
    </w:p>
    <w:p>
      <w:pPr>
        <w:spacing w:after="0" w:line="176"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on reassignment of Medicare claims, which, subject to certain exceptions, precludes the reassignment of Medicare claims to any other party;</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Protecting Access to Medicare Act of 2014, which requires us to report private payer rates and test volumes for specific CPT codes on a triennial basis and imposes penalties for failures to report, omissions, or misrepresentations;</w:t>
      </w:r>
    </w:p>
    <w:p>
      <w:pPr>
        <w:spacing w:after="0" w:line="161"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w:t>
      </w:r>
    </w:p>
    <w:p>
      <w:pPr>
        <w:spacing w:after="0" w:line="176"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payers;</w:t>
      </w:r>
    </w:p>
    <w:p>
      <w:pPr>
        <w:spacing w:after="0" w:line="17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of 1977, and other similar laws, which apply to our international activities;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unclaimed property (escheat) laws and regulations, which may require us to turn over to governmental authorities the property of others held by us that has been unclaimed for a specified period of time;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our intellectual property rights.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adopted policies and procedures designed to comply with applicable laws and regulations. In the ordinary course of our business, we conduct internal reviews of our compliance with these laws. Our compliance with some of these laws and regulations is also subject to governmental review. The growth of our business and sales organization and our expansion outside of the United States may increase the potential of violating these laws or our internal policies and procedures. We believe that we are in material compliance with all statutory and regulatory requirements, but there is a risk that one or more government agencies could take a contrary position.</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recent years U.S. Attorneys’ Offices have increased scrutiny of the healthcare industry, as have Congress, the Department of Justice, the Department of Health and Human Services’ Office of the Inspector General and the Department of Defense. These bodies have all issued subpoenas and other requests for information to conduct investigations of, and commenced civil and criminal litigation against, healthcare companies based on financial arrangements with health care providers, regulatory compliance, product promotional practices and documentation, and coding and billing practices. Whistleblowers have filed numerous qui tam lawsuits against healthcare companies under the federal and state False Claims Acts in recent years, in part because the whistleblower can receive a portion of the government’s recovery under such suits.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These laws and regulations are complex and are subject to interpretation by the courts and by government agencies. If one or more such agencies alleges that we may be in violation of any of these requirements, regardless of the outcome, it could damage our reputation and adversely affect important business relationships with third parties, including managed care organizations and other commercial third-party payers.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use hazardous materials in a manner that causes contamination or injury, we could be liable for resulting damages.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184" w:lineRule="exact"/>
        <w:rPr>
          <w:sz w:val="20"/>
          <w:szCs w:val="20"/>
          <w:color w:val="auto"/>
        </w:rPr>
      </w:pPr>
    </w:p>
    <w:p>
      <w:pPr>
        <w:ind w:lef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strategy includes international expansion in select countries, and may include developing and maintaining physician outreach and education capabilities outside of the United States, establishing agreements with laboratories, and expanding our relationships with international payers. Doing business internationally involves a number of risks, including:</w:t>
      </w:r>
    </w:p>
    <w:p>
      <w:pPr>
        <w:spacing w:after="0" w:line="176" w:lineRule="exact"/>
        <w:rPr>
          <w:sz w:val="20"/>
          <w:szCs w:val="20"/>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privacy laws, export and import restrictions, employment laws, regulatory requirements and other governmental approvals, permits and licenses;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obtain regulatory approvals where required for the use of our solutions in various countries;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payer reimbursement regimes, government payers or patient self-pay systems;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tissue samples, including infrastructure conditions and transportation delays;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associated with establishing laboratory partners, including proper sample collection techniques, management of supplies, sample logistics, billing and promotional activities;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ability to penetrate international markets if we are not able to process tests locally;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in collecting from payers, the effect of local and regional financial crises, and exposure to foreign currency exchange rate fluctuations;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and political unrest, outbreak of disease, boycotts, curtailment of trade and other business restrictions;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activities that may fall within the purview of the Foreign Corrupt Practices Act of 1977, including both its books and records provisions and its anti-bribery provisions.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of these factors could significantly harm our future international expansion and operations and, consequently, our revenue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sued for product liability or errors and omissions liability, we could face substantial liabilities that exceed our resources.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marketing, sale and use of our current or future tests could lead to product liability claims if someone were to allege that the tests failed to perform as they were designed. We may also be subject to liability for errors in the results we provide to physicians or for a misunderstanding of, or inappropriate reliance upon, the information we provide. Our Afirma classifiers are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classifier to perform as intended. We may also be subject to similar types of claims related to our Percepta and Envisia tests, as well as tests we may develop in the future. A product liability or errors and omissions liability claim could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an adverse effect on our business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catastrophe strikes either of our laboratories or if either of our laboratories becomes inoperable for any other reason, we will be unable to perform our testing services and our business will be harmed.</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perform all of the Afirma, Percepta and Envisia genomic classifier testing at our laboratory in South San Francisco, California, near major earthquake faults known for seismic activity. Our laboratory in Austin, Texas accepts and stores the majority of our Afirma FNA samples pending transfer to our California laboratory for genomic test processing. The laboratories and equipment we use to perform our tests would be costly to replace and could require substantial lead time to replace and qualify for use if they became inoperable.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our tests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185"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expect continued capital expenditures and operating losses over the next few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Our Loan and Security Agreement imposes restrictions on our operations, increases our fixed payment obligations, and has restrictive covenants. In addition, the issuance of additional equity securities by us, or the possibility of such issuance, may cause the market</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our company.</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ordinary course of our business, we and our third-party service providers collect and store sensitive data, including legally protected health information, personally identifiable information about our patients,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related to our protection of, and our service providers’ protection of, this critical information, including loss of access, inappropriate disclosure and inappropriate access, as well as risks associated with our ability to identify and audit such events.</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are not aware of any such attack or breach, if such event would occur and cause interruptions in our operations, our networks would be compromised and the information we store on those networks could be accessed by unauthorized parties, publicly disclosed, lost or stolen. Any such access, disclosure or other loss of information could result in legal claims or proceedings, liability under federal, state, and international laws that protect the privacy of personal information, such as HIPAA,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tests and other patient and physician education and outreach efforts through our website, manage the administrative aspects of our business and damage our reputation, any of which could adversely affect our business.</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interpretation and application of consumer, health-related and data protection laws in the United States, Europe and elsewhere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In addition, we are subject to various state laws, including the California Consumer Privacy Act, or CCPA, which was enacted in California in 2018 and components of which are scheduled to go into effect on January 1, 2020. The CCPA will, among other things, require covered companies to provide disclosures to California consumers concerning the collection and sale of personal information, and will give such consumers the right to opt-out of certain sales of personal information. Amendments to the CCPA have been made since its enactment, and it remains unclear what, if any, further amendments will be made to this legislation or how it will be interpreted. We cannot yet predict the impact of the CCPA on our business or operations, but it may require us to modify our data processing practices and policies and to incur substantial costs and expenses in an effort to comply.</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Recent developments in Europe have created compliance uncertainty regarding the processing of personal data from Europe. For example, the General Data Protection Regulation, or GDPR, which became effective in the European Union on May 25, 2018, applies to our activities conducted from an establishment in the EU or related to products and services that we offer to European Union users. The GDPR creates new compliance obligations applicable to our business, which could cause us to change our business practices, and increases financial penalties for noncompliance (including possible fines of up to 4% of global annual turnover for the preceding financial year or €20 million (whichever is higher) for the most serious infringements). As a result, we may need to modify the way we treat such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license rights to use technologies on reasonable terms, we may not be able to commercialize new products in the future.</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property effectively, our business would be harmed.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 We have 25 issued patents that expire between 2029 and 2032 related to methods used in the Afirma diagnostic platform, in addition to 17 pending U.S. utility patent applications, one U.S. provisional patent application, and one PCT application. Some of these U.S. utility patent applications have pending foreign counterparts. We also exclusively licensed intellectual property, including rights to five issued patents that will expire between 2030 and 2035, and three pending U.S. utility patent applications in the thyroid space that would expire between 2030 and 2033 once issued, related to methods that are used in the Afirma diagnostic test, some of which have foreign counterparts. In the lung diagnostic space, we have exclusively licensed intellectual property rights to 12 pending patent applications and eight issued patents. Patents issuing from the licensed portfolio will expire between 2024 and 2028. In addition, we own a pending PCT patent application, a pending U.S. utility patent application, a U.S. provisional patent application, and pending foreign counterpart patent applications in Australia, Canada, China, Europe, Japan, and South Korea related to our Percepta test. We also own one U.S. patent application and one counterpart European patent application related to another lung disease, and three pending U.S. patent applications, one granted patent abroad and ten patent applications abroad related to Envisia. Any patents granted from our current lung cancer patent applications will expire no earlier than 2035 and those from the interstitial lung disease patent applications will expire no earlier than 2034. 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nucleic acids.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particular, the patent positions of companies engaged in the development and commercialization of genomic diagnostic tests are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genomic diagnostics tests would be considered natural laws. Accordingly, the evolving case law in the United States may adversely affect our ability to obtain patents and may facilitate third-party challenges to any owned and licensed patents.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Monitoring unauthorized disclosure is difficult, and we do not know whether the steps we have taken to prevent such disclosure are, or will be, adequate. If we were to enforce a claim that a third-party had illegally obtained and was using our trade secrets, it would be expensive and time consuming, and the outcome would be unpredictable. In addition, courts outside the United States may be less willing to protect trade secrets.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not registered certain of our trademarks in all of our potential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 Patent and Trademark Office that could result in substantial cost to us. No assurance can be given that other patent applications will not have priority over our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may be limited and may result in increased future tax liability to us.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incurred net losses since our inception and may never achieve profitability. As of December 31, 2018, we had net operating loss, or NOL, carryforwards of approximately $210.7 million, $56.1 million and $36.6 million available to reduce future taxable income, if any, for federal, California and other state income tax purposes, respectively. The U.S. federal NOL carryforwards will begin to expire in 2026 while for state purposes, the NOL carryforwards begin to expire in 2028. These NOL carryforwards could expire unused and be unavailable to offset future income tax liabilities. Under the Tax Cuts and Jobs Acts, or Tax Act, which was enacted in December 2017, federal NOLs incurred in tax years beginning after December 31, 2017 may be carried forward indefinitely, but the deductibility of such federal NOLs is limited. It is uncertain if and to what extent various states will conform to the newly enacted federal tax law.</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the extent that we continue to generate taxable losses, unused losses will carry forward to offset future taxable income, if any, until such unused losses expire. We may be limited in the portion of NOL carryforwards that we can use in the future to offset taxable income for U.S. federal and state income tax purposes, and federal tax credits to offset federal tax liabilities. Sections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382 and 383 of Internal Revenue Code limit the use of NOLs and tax credits after a cumulative change in corporate ownership of more than 50% occurs within a three-year period. The limitation could prevent a corporation from using some or all its NOL and tax credits before they expire within their normal 20-year lifespan, as it places a formula limit of how much NOL and tax credits a loss corporation can use in a tax year. In the event we have undergone an ownership change under Section 382 of the Internal Revenue Code, if we earn net taxable income, our ability to use our pre-change NOL carryforwards to offset U.S. federal taxable income may become subject to limitations, which could potentially result in increased future tax liability to 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goodwill or intangible assets become impaired, we may be required to record a significant charge to earnings.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review our goodwill and intangible assets for impairment when events or changes in circumstances indicate the carrying value may not be recoverable, such as declines in stock price, market capitalization, or cash flows and slower growth rates in our industry. Goodwill is required to be tested for impairment at least annually. If we are required to record a significant charge in our financial statements during the period in which any impairment of our goodwill or intangible assets is determined, that would negatively affect our operating results.</w:t>
      </w:r>
    </w:p>
    <w:p>
      <w:pPr>
        <w:spacing w:after="0" w:line="4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financial accounting standards or practices may cause adverse, unexpected financial reporting fluctuations and affect our reported operating results.</w:t>
      </w:r>
    </w:p>
    <w:p>
      <w:pPr>
        <w:spacing w:after="0" w:line="13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U.S. GAAP is subject to interpretation by the Financial Accounting Standards Board, the Securities and Exchange Commission, or the SEC, and various bodies formed to promulgate and interpret appropriate accounting principles. A change in accounting standards or practices can have a significant effect on our reported results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statements are subject to change and if our estimates or judgments relating to our critical accounting policies prove to be incorrect, our operating results could be adversely affected.</w:t>
      </w:r>
    </w:p>
    <w:p>
      <w:pPr>
        <w:spacing w:after="0" w:line="5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our financial statements and related notes. We base our estimates on historical experience and on various other assumptions that we believe to be reasonable under the circumstances, as provided in the section titled “Management’s Discussion and Analysis of Financial Condition and Results of Operations” in this Quarterly Report on Form 10-Q. The results of these estimates form the basis for making judgments about the carrying values of assets, liabilities, and equity, and the amount of revenue and expenses that are not readily apparent from other sources. Critical accounting policies and estimates used in preparing our financial statements include those related to revenue recognition, finite-lived intangible assets, goodwill, and stock-based compensation expense.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common stock.</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and demands on management as a result of compliance with laws and regulations applicable to public companies, which could harm our operating results.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public company, we will continue to incur significant legal, accounting, consulting and other expenses that we did not incur as a private company, including costs associated with public company reporting requirements. In addition, the Sarbanes-Oxley Act of 2002 and the Dodd-Frank Act of 2010, as well as rules implemented by the SEC, and The Nasdaq Stock Market, impose a number of requirements on public companies, including with respect to corporate governance practices. Our management and other personnel will need to devote a substantial amount of time to these compliance and disclosure obligations. Moreover, these rules and regulations have and will continue to increase our legal, accounting and financial compliance costs and make some activities more complex, time-consuming and costly. We also expect that it will continue to be expensive for us to maintain director and officer liability insurance.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We have only recently compiled the systems, processes and documentation necessary to comply with Section 404 of the Sarbanes-Oxley Act. We will need to maintain and enhance these processes and controls as we grow, and we will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We ceased being an emerging growth company on December 31, 2018, and are now required to include an attestation report on the effectiveness of our internal control over financial reporting annually of our independent registered public accounting firm.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19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are unable to conclude that our internal control over financial reporting is effective, or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may elect to comply with reduced public company reporting requirements applicable to smaller reporting companies, which could make our common stock less attractive to investors.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 “smaller reporting company,” meaning that we are not an investment company, an asset-backed issuer, or a majority-owned subsidiary of a parent company that is not a “smaller reporting company,” and have either: (i) a public float of less than $250 million or (ii) annual revenues of less than $100 million during the most recently completed fiscal year and (A) no public float or (B) a public float of less than $700 million.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If some investors find our common stock less attractive as a result of any choices to reduce future disclosure we may make, there may be a less active trading market for our common stock and our stock price may be more volatile.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you may not be able to sell shares of our common stock at or above the price you paid.</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is likely to continue to be highly volatile and could be subject to wide fluctuations in response to various factors, some of which are beyond our control. These factors include:</w:t>
      </w:r>
    </w:p>
    <w:p>
      <w:pPr>
        <w:spacing w:after="0" w:line="162"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and our competitors’ results of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commercial relationships or capital commitments;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by current or potential payers, including governmental payers;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securities analysts’ reports or changed recommendations for our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revenue, due in part to the way in which we recognize revenue;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regulatory oversight of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our involvement in, litigation;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or technologies by us or our competitors;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management;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our markets.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stock of life sciences companies and other emerging growth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be even more pronounced if the trading volume of our stock remains low.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equity research analysts publish about us, our business and our competitors. We do not control these analysts or the content and opinions or financial models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spacing w:after="0" w:line="162" w:lineRule="exact"/>
        <w:rPr>
          <w:sz w:val="20"/>
          <w:szCs w:val="20"/>
          <w:color w:val="auto"/>
        </w:rPr>
      </w:pPr>
    </w:p>
    <w:p>
      <w:pPr>
        <w:ind w:left="5620" w:right="320" w:hanging="4964"/>
        <w:spacing w:after="0" w:line="814" w:lineRule="auto"/>
        <w:tabs>
          <w:tab w:leader="none" w:pos="97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up to 5.0 million shares of undesignated preferred stock; 49</w:t>
      </w:r>
    </w:p>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our chairman of the board, or our chief executive officer;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Class I, Class II and Class III, with each class serving staggered terms;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except as otherwise required by law, be filled only by a majority of directors then in office, even if less than a quorum;</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of votes to amend certain of the above-mentioned provisions.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capital stock, and we do not anticipate paying dividends in the foreseeable future.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never paid dividends on any of our capital stock and currently intend to retain any future earnings to fund the growth of our business. In addition, our Loan and Security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7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13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60" w:type="dxa"/>
            <w:vAlign w:val="bottom"/>
            <w:gridSpan w:val="5"/>
            <w:vMerge w:val="restart"/>
          </w:tcPr>
          <w:p>
            <w:pPr>
              <w:ind w:left="19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2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6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4"/>
          </w:tcPr>
          <w:p>
            <w:pPr>
              <w:jc w:val="right"/>
              <w:ind w:right="140"/>
              <w:spacing w:after="0" w:line="201" w:lineRule="exact"/>
              <w:rPr>
                <w:rFonts w:ascii="Times New Roman" w:cs="Times New Roman" w:eastAsia="Times New Roman" w:hAnsi="Times New Roman"/>
                <w:sz w:val="18"/>
                <w:szCs w:val="18"/>
                <w:color w:val="0000FF"/>
                <w:w w:val="93"/>
              </w:rPr>
            </w:pPr>
            <w:hyperlink w:anchor="page56">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w:t>
              </w:r>
            </w:hyperlink>
          </w:p>
        </w:tc>
        <w:tc>
          <w:tcPr>
            <w:tcW w:w="40" w:type="dxa"/>
            <w:vAlign w:val="bottom"/>
          </w:tcPr>
          <w:p>
            <w:pPr>
              <w:spacing w:after="0"/>
              <w:rPr>
                <w:sz w:val="17"/>
                <w:szCs w:val="17"/>
                <w:color w:val="auto"/>
              </w:rPr>
            </w:pPr>
          </w:p>
        </w:tc>
        <w:tc>
          <w:tcPr>
            <w:tcW w:w="9180" w:type="dxa"/>
            <w:vAlign w:val="bottom"/>
            <w:gridSpan w:val="7"/>
          </w:tcPr>
          <w:p>
            <w:pPr>
              <w:spacing w:after="0" w:line="201" w:lineRule="exact"/>
              <w:rPr>
                <w:rFonts w:ascii="Times New Roman" w:cs="Times New Roman" w:eastAsia="Times New Roman" w:hAnsi="Times New Roman"/>
                <w:sz w:val="18"/>
                <w:szCs w:val="18"/>
                <w:color w:val="0000FF"/>
              </w:rPr>
            </w:pPr>
            <w:hyperlink w:anchor="page56">
              <w:r>
                <w:rPr>
                  <w:rFonts w:ascii="Times New Roman" w:cs="Times New Roman" w:eastAsia="Times New Roman" w:hAnsi="Times New Roman"/>
                  <w:sz w:val="18"/>
                  <w:szCs w:val="18"/>
                  <w:color w:val="0000FF"/>
                </w:rPr>
                <w:t>Agreement dated as of October 16, 2017, between Thyroid Cytopathology Partners, P.A. and the Registrant, as amended</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3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gridSpan w:val="2"/>
          </w:tcPr>
          <w:p>
            <w:pPr>
              <w:spacing w:after="0"/>
              <w:rPr>
                <w:sz w:val="21"/>
                <w:szCs w:val="21"/>
                <w:color w:val="auto"/>
              </w:rPr>
            </w:pPr>
          </w:p>
        </w:tc>
        <w:tc>
          <w:tcPr>
            <w:tcW w:w="400" w:type="dxa"/>
            <w:vAlign w:val="bottom"/>
          </w:tcPr>
          <w:p>
            <w:pPr>
              <w:jc w:val="right"/>
              <w:spacing w:after="0"/>
              <w:rPr>
                <w:rFonts w:ascii="Times New Roman" w:cs="Times New Roman" w:eastAsia="Times New Roman" w:hAnsi="Times New Roman"/>
                <w:sz w:val="18"/>
                <w:szCs w:val="18"/>
                <w:color w:val="0000FF"/>
                <w:w w:val="93"/>
              </w:rPr>
            </w:pPr>
            <w:hyperlink w:anchor="page87">
              <w:r>
                <w:rPr>
                  <w:rFonts w:ascii="Times New Roman" w:cs="Times New Roman" w:eastAsia="Times New Roman" w:hAnsi="Times New Roman"/>
                  <w:sz w:val="18"/>
                  <w:szCs w:val="18"/>
                  <w:color w:val="0000FF"/>
                  <w:w w:val="93"/>
                </w:rPr>
                <w:t>31.</w:t>
              </w:r>
              <w:r>
                <w:rPr>
                  <w:rFonts w:ascii="Times New Roman" w:cs="Times New Roman" w:eastAsia="Times New Roman" w:hAnsi="Times New Roman"/>
                  <w:sz w:val="18"/>
                  <w:szCs w:val="18"/>
                  <w:u w:val="single" w:color="auto"/>
                  <w:color w:val="0000FF"/>
                  <w:w w:val="93"/>
                </w:rPr>
                <w:t>1*</w:t>
              </w:r>
            </w:hyperlink>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180" w:type="dxa"/>
            <w:vAlign w:val="bottom"/>
            <w:gridSpan w:val="7"/>
          </w:tcPr>
          <w:p>
            <w:pPr>
              <w:spacing w:after="0"/>
              <w:rPr>
                <w:rFonts w:ascii="Times New Roman" w:cs="Times New Roman" w:eastAsia="Times New Roman" w:hAnsi="Times New Roman"/>
                <w:sz w:val="18"/>
                <w:szCs w:val="18"/>
                <w:color w:val="0000FF"/>
              </w:rPr>
            </w:pPr>
            <w:hyperlink w:anchor="page87">
              <w:r>
                <w:rPr>
                  <w:rFonts w:ascii="Times New Roman" w:cs="Times New Roman" w:eastAsia="Times New Roman" w:hAnsi="Times New Roman"/>
                  <w:sz w:val="18"/>
                  <w:szCs w:val="18"/>
                  <w:color w:val="0000FF"/>
                </w:rPr>
                <w:t>Certification of Principal Executive Officer pursuant to Rules 13a-14(a) and 15d-14(a), as adopted pursuant to Section 302 of</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2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w:anchor="page87">
              <w:r>
                <w:rPr>
                  <w:rFonts w:ascii="Times New Roman" w:cs="Times New Roman" w:eastAsia="Times New Roman" w:hAnsi="Times New Roman"/>
                  <w:sz w:val="18"/>
                  <w:szCs w:val="18"/>
                  <w:color w:val="0000FF"/>
                  <w:w w:val="99"/>
                </w:rPr>
                <w:t>the Sarbanes-Oxley Act of 2002</w:t>
              </w:r>
            </w:hyperlink>
          </w:p>
        </w:tc>
        <w:tc>
          <w:tcPr>
            <w:tcW w:w="6700" w:type="dxa"/>
            <w:vAlign w:val="bottom"/>
            <w:tcBorders>
              <w:top w:val="single" w:sz="8" w:color="0000FF"/>
            </w:tcBorders>
            <w:gridSpan w:val="4"/>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40" w:type="dxa"/>
            <w:vAlign w:val="bottom"/>
            <w:gridSpan w:val="2"/>
          </w:tcPr>
          <w:p>
            <w:pPr>
              <w:spacing w:after="0"/>
              <w:rPr>
                <w:sz w:val="21"/>
                <w:szCs w:val="21"/>
                <w:color w:val="auto"/>
              </w:rPr>
            </w:pPr>
          </w:p>
        </w:tc>
        <w:tc>
          <w:tcPr>
            <w:tcW w:w="4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93"/>
              </w:rPr>
            </w:pPr>
            <w:hyperlink w:anchor="page88">
              <w:r>
                <w:rPr>
                  <w:rFonts w:ascii="Times New Roman" w:cs="Times New Roman" w:eastAsia="Times New Roman" w:hAnsi="Times New Roman"/>
                  <w:sz w:val="18"/>
                  <w:szCs w:val="18"/>
                  <w:color w:val="0000FF"/>
                  <w:w w:val="93"/>
                </w:rPr>
                <w:t>31.</w:t>
              </w:r>
              <w:r>
                <w:rPr>
                  <w:rFonts w:ascii="Times New Roman" w:cs="Times New Roman" w:eastAsia="Times New Roman" w:hAnsi="Times New Roman"/>
                  <w:sz w:val="18"/>
                  <w:szCs w:val="18"/>
                  <w:u w:val="single" w:color="auto"/>
                  <w:color w:val="0000FF"/>
                  <w:w w:val="93"/>
                </w:rPr>
                <w:t>2*</w:t>
              </w:r>
            </w:hyperlink>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8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w:anchor="page88">
              <w:r>
                <w:rPr>
                  <w:rFonts w:ascii="Times New Roman" w:cs="Times New Roman" w:eastAsia="Times New Roman" w:hAnsi="Times New Roman"/>
                  <w:sz w:val="18"/>
                  <w:szCs w:val="18"/>
                  <w:color w:val="0000FF"/>
                  <w:w w:val="99"/>
                </w:rPr>
                <w:t>Certification of Principal Financial Officer pursuant to Rule 13a-14(a)/15d-14(a), as adopted pursuant to Section 302 of the</w:t>
              </w:r>
            </w:hyperlink>
          </w:p>
        </w:tc>
        <w:tc>
          <w:tcPr>
            <w:tcW w:w="3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180" w:type="dxa"/>
            <w:vAlign w:val="bottom"/>
            <w:gridSpan w:val="7"/>
          </w:tcPr>
          <w:p>
            <w:pPr>
              <w:spacing w:after="0" w:line="196" w:lineRule="exact"/>
              <w:rPr>
                <w:rFonts w:ascii="Times New Roman" w:cs="Times New Roman" w:eastAsia="Times New Roman" w:hAnsi="Times New Roman"/>
                <w:sz w:val="18"/>
                <w:szCs w:val="18"/>
                <w:color w:val="0000FF"/>
              </w:rPr>
            </w:pPr>
            <w:hyperlink w:anchor="page88">
              <w:r>
                <w:rPr>
                  <w:rFonts w:ascii="Times New Roman" w:cs="Times New Roman" w:eastAsia="Times New Roman" w:hAnsi="Times New Roman"/>
                  <w:sz w:val="18"/>
                  <w:szCs w:val="18"/>
                  <w:color w:val="0000FF"/>
                </w:rPr>
                <w:t>Sarbanes-Oxley Act of 2002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676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89">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hyperlink>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180" w:type="dxa"/>
            <w:vAlign w:val="bottom"/>
            <w:gridSpan w:val="7"/>
          </w:tcPr>
          <w:p>
            <w:pPr>
              <w:spacing w:after="0"/>
              <w:rPr>
                <w:rFonts w:ascii="Times New Roman" w:cs="Times New Roman" w:eastAsia="Times New Roman" w:hAnsi="Times New Roman"/>
                <w:sz w:val="18"/>
                <w:szCs w:val="18"/>
                <w:color w:val="0000FF"/>
              </w:rPr>
            </w:pPr>
            <w:hyperlink w:anchor="page89">
              <w:r>
                <w:rPr>
                  <w:rFonts w:ascii="Times New Roman" w:cs="Times New Roman" w:eastAsia="Times New Roman" w:hAnsi="Times New Roman"/>
                  <w:sz w:val="18"/>
                  <w:szCs w:val="18"/>
                  <w:color w:val="0000FF"/>
                </w:rPr>
                <w:t>Certification of Principal Executive Officer pursuant to 18 U.S.C. § 1350 (Section 906 of the Sarbanes-Oxley Act of 2002)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0" w:type="dxa"/>
            <w:vAlign w:val="bottom"/>
            <w:gridSpan w:val="4"/>
            <w:shd w:val="clear" w:color="auto" w:fill="0000FF"/>
          </w:tcPr>
          <w:p>
            <w:pPr>
              <w:spacing w:after="0" w:line="20" w:lineRule="exact"/>
              <w:rPr>
                <w:sz w:val="1"/>
                <w:szCs w:val="1"/>
                <w:color w:val="auto"/>
              </w:rPr>
            </w:pPr>
          </w:p>
        </w:tc>
        <w:tc>
          <w:tcPr>
            <w:tcW w:w="380" w:type="dxa"/>
            <w:vAlign w:val="bottom"/>
            <w:tcBorders>
              <w:left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90">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hyperlink>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180" w:type="dxa"/>
            <w:vAlign w:val="bottom"/>
            <w:gridSpan w:val="7"/>
          </w:tcPr>
          <w:p>
            <w:pPr>
              <w:spacing w:after="0"/>
              <w:rPr>
                <w:rFonts w:ascii="Times New Roman" w:cs="Times New Roman" w:eastAsia="Times New Roman" w:hAnsi="Times New Roman"/>
                <w:sz w:val="18"/>
                <w:szCs w:val="18"/>
                <w:color w:val="0000FF"/>
              </w:rPr>
            </w:pPr>
            <w:hyperlink w:anchor="page90">
              <w:r>
                <w:rPr>
                  <w:rFonts w:ascii="Times New Roman" w:cs="Times New Roman" w:eastAsia="Times New Roman" w:hAnsi="Times New Roman"/>
                  <w:sz w:val="18"/>
                  <w:szCs w:val="18"/>
                  <w:color w:val="0000FF"/>
                </w:rPr>
                <w:t>Certification of Principal Financial Officer pursuant to 18 U.S.C. § 1350 (Section 906 of the Sarbanes-Oxley Act of 2002)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0" w:type="dxa"/>
            <w:vAlign w:val="bottom"/>
            <w:gridSpan w:val="4"/>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38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101.INS</w:t>
            </w:r>
          </w:p>
        </w:tc>
        <w:tc>
          <w:tcPr>
            <w:tcW w:w="40" w:type="dxa"/>
            <w:vAlign w:val="bottom"/>
          </w:tcPr>
          <w:p>
            <w:pPr>
              <w:spacing w:after="0"/>
              <w:rPr>
                <w:sz w:val="24"/>
                <w:szCs w:val="24"/>
                <w:color w:val="auto"/>
              </w:rPr>
            </w:pPr>
          </w:p>
        </w:tc>
        <w:tc>
          <w:tcPr>
            <w:tcW w:w="91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70"/>
        </w:trPr>
        <w:tc>
          <w:tcPr>
            <w:tcW w:w="138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101.SCH</w:t>
            </w:r>
          </w:p>
        </w:tc>
        <w:tc>
          <w:tcPr>
            <w:tcW w:w="40" w:type="dxa"/>
            <w:vAlign w:val="bottom"/>
          </w:tcPr>
          <w:p>
            <w:pPr>
              <w:spacing w:after="0"/>
              <w:rPr>
                <w:sz w:val="23"/>
                <w:szCs w:val="23"/>
                <w:color w:val="auto"/>
              </w:rPr>
            </w:pPr>
          </w:p>
        </w:tc>
        <w:tc>
          <w:tcPr>
            <w:tcW w:w="91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0" w:type="dxa"/>
            <w:vAlign w:val="bottom"/>
          </w:tcPr>
          <w:p>
            <w:pPr>
              <w:spacing w:after="0"/>
              <w:rPr>
                <w:sz w:val="1"/>
                <w:szCs w:val="1"/>
                <w:color w:val="auto"/>
              </w:rPr>
            </w:pPr>
          </w:p>
        </w:tc>
      </w:tr>
      <w:tr>
        <w:trPr>
          <w:trHeight w:val="270"/>
        </w:trPr>
        <w:tc>
          <w:tcPr>
            <w:tcW w:w="138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101.CAL</w:t>
            </w:r>
          </w:p>
        </w:tc>
        <w:tc>
          <w:tcPr>
            <w:tcW w:w="40" w:type="dxa"/>
            <w:vAlign w:val="bottom"/>
          </w:tcPr>
          <w:p>
            <w:pPr>
              <w:spacing w:after="0"/>
              <w:rPr>
                <w:sz w:val="23"/>
                <w:szCs w:val="23"/>
                <w:color w:val="auto"/>
              </w:rPr>
            </w:pPr>
          </w:p>
        </w:tc>
        <w:tc>
          <w:tcPr>
            <w:tcW w:w="91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0" w:type="dxa"/>
            <w:vAlign w:val="bottom"/>
          </w:tcPr>
          <w:p>
            <w:pPr>
              <w:spacing w:after="0"/>
              <w:rPr>
                <w:sz w:val="1"/>
                <w:szCs w:val="1"/>
                <w:color w:val="auto"/>
              </w:rPr>
            </w:pPr>
          </w:p>
        </w:tc>
      </w:tr>
      <w:tr>
        <w:trPr>
          <w:trHeight w:val="270"/>
        </w:trPr>
        <w:tc>
          <w:tcPr>
            <w:tcW w:w="138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101.DEF</w:t>
            </w:r>
          </w:p>
        </w:tc>
        <w:tc>
          <w:tcPr>
            <w:tcW w:w="40" w:type="dxa"/>
            <w:vAlign w:val="bottom"/>
          </w:tcPr>
          <w:p>
            <w:pPr>
              <w:spacing w:after="0"/>
              <w:rPr>
                <w:sz w:val="23"/>
                <w:szCs w:val="23"/>
                <w:color w:val="auto"/>
              </w:rPr>
            </w:pPr>
          </w:p>
        </w:tc>
        <w:tc>
          <w:tcPr>
            <w:tcW w:w="91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0" w:type="dxa"/>
            <w:vAlign w:val="bottom"/>
          </w:tcPr>
          <w:p>
            <w:pPr>
              <w:spacing w:after="0"/>
              <w:rPr>
                <w:sz w:val="1"/>
                <w:szCs w:val="1"/>
                <w:color w:val="auto"/>
              </w:rPr>
            </w:pPr>
          </w:p>
        </w:tc>
      </w:tr>
      <w:tr>
        <w:trPr>
          <w:trHeight w:val="270"/>
        </w:trPr>
        <w:tc>
          <w:tcPr>
            <w:tcW w:w="138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101.LAB</w:t>
            </w:r>
          </w:p>
        </w:tc>
        <w:tc>
          <w:tcPr>
            <w:tcW w:w="40" w:type="dxa"/>
            <w:vAlign w:val="bottom"/>
          </w:tcPr>
          <w:p>
            <w:pPr>
              <w:spacing w:after="0"/>
              <w:rPr>
                <w:sz w:val="23"/>
                <w:szCs w:val="23"/>
                <w:color w:val="auto"/>
              </w:rPr>
            </w:pPr>
          </w:p>
        </w:tc>
        <w:tc>
          <w:tcPr>
            <w:tcW w:w="91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0" w:type="dxa"/>
            <w:vAlign w:val="bottom"/>
          </w:tcPr>
          <w:p>
            <w:pPr>
              <w:spacing w:after="0"/>
              <w:rPr>
                <w:sz w:val="1"/>
                <w:szCs w:val="1"/>
                <w:color w:val="auto"/>
              </w:rPr>
            </w:pPr>
          </w:p>
        </w:tc>
      </w:tr>
      <w:tr>
        <w:trPr>
          <w:trHeight w:val="270"/>
        </w:trPr>
        <w:tc>
          <w:tcPr>
            <w:tcW w:w="138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101.PRE</w:t>
            </w:r>
          </w:p>
        </w:tc>
        <w:tc>
          <w:tcPr>
            <w:tcW w:w="40" w:type="dxa"/>
            <w:vAlign w:val="bottom"/>
          </w:tcPr>
          <w:p>
            <w:pPr>
              <w:spacing w:after="0"/>
              <w:rPr>
                <w:sz w:val="23"/>
                <w:szCs w:val="23"/>
                <w:color w:val="auto"/>
              </w:rPr>
            </w:pPr>
          </w:p>
        </w:tc>
        <w:tc>
          <w:tcPr>
            <w:tcW w:w="91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222885</wp:posOffset>
            </wp:positionV>
            <wp:extent cx="8147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340" w:lineRule="exact"/>
        <w:rPr>
          <w:sz w:val="20"/>
          <w:szCs w:val="20"/>
          <w:color w:val="auto"/>
        </w:rPr>
      </w:pPr>
    </w:p>
    <w:p>
      <w:pPr>
        <w:ind w:left="1840" w:hanging="1400"/>
        <w:spacing w:after="0"/>
        <w:tabs>
          <w:tab w:leader="none" w:pos="1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77" w:lineRule="exact"/>
        <w:rPr>
          <w:sz w:val="20"/>
          <w:szCs w:val="20"/>
          <w:color w:val="auto"/>
        </w:rPr>
      </w:pPr>
    </w:p>
    <w:p>
      <w:pPr>
        <w:ind w:left="1840" w:right="500" w:hanging="1400"/>
        <w:spacing w:after="0" w:line="261" w:lineRule="auto"/>
        <w:tabs>
          <w:tab w:leader="none" w:pos="1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18" w:lineRule="exact"/>
        <w:rPr>
          <w:sz w:val="20"/>
          <w:szCs w:val="20"/>
          <w:color w:val="auto"/>
        </w:rPr>
      </w:pPr>
    </w:p>
    <w:p>
      <w:pPr>
        <w:ind w:left="1840" w:hanging="1400"/>
        <w:spacing w:after="0"/>
        <w:tabs>
          <w:tab w:leader="none" w:pos="1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Registrant is requesting or has previously been granted confidential treatment with respect to certain portions of this Exhibit.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27" w:lineRule="exact"/>
        <w:rPr>
          <w:rFonts w:ascii="Times New Roman" w:cs="Times New Roman" w:eastAsia="Times New Roman" w:hAnsi="Times New Roman"/>
          <w:sz w:val="18"/>
          <w:szCs w:val="18"/>
          <w:color w:val="auto"/>
        </w:rPr>
      </w:pPr>
    </w:p>
    <w:p>
      <w:pPr>
        <w:ind w:left="5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w:t>
      </w:r>
    </w:p>
    <w:p>
      <w:pPr>
        <w:sectPr>
          <w:pgSz w:w="11900" w:h="16838" w:orient="portrait"/>
          <w:cols w:equalWidth="0" w:num="1">
            <w:col w:w="11020"/>
          </w:cols>
          <w:pgMar w:left="240" w:top="118" w:right="639" w:bottom="1440" w:gutter="0" w:footer="0" w:header="0"/>
        </w:sectPr>
      </w:pPr>
    </w:p>
    <w:bookmarkStart w:id="54" w:name="page55"/>
    <w:bookmarkEnd w:id="5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VERACYTE, INC.</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Keith Kennedy</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18" w:right="2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82" w:lineRule="exact"/>
        <w:rPr>
          <w:sz w:val="20"/>
          <w:szCs w:val="20"/>
          <w:color w:val="auto"/>
        </w:rPr>
      </w:pPr>
    </w:p>
    <w:p>
      <w:pPr>
        <w:ind w:right="100" w:firstLine="8"/>
        <w:spacing w:after="0" w:line="286" w:lineRule="auto"/>
        <w:tabs>
          <w:tab w:leader="none" w:pos="25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identified information has been excluded from the exhibit because it is both (i) not material and (ii) would likely cause competitive harm to the registrant if publicly disclosed.</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PATHOLOGY SERVICES AGREEMENT</w:t>
      </w:r>
    </w:p>
    <w:p>
      <w:pPr>
        <w:spacing w:after="0" w:line="228"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2"/>
          <w:szCs w:val="22"/>
          <w:color w:val="auto"/>
        </w:rPr>
        <w:t>THIS AMENDED AND RESTATED PATHOLOGY SERVICES AGREEMENT (“Agreement”) is made this 14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February, 2019 (the “Effective Date”), by and among </w:t>
      </w:r>
      <w:r>
        <w:rPr>
          <w:rFonts w:ascii="Times New Roman" w:cs="Times New Roman" w:eastAsia="Times New Roman" w:hAnsi="Times New Roman"/>
          <w:sz w:val="22"/>
          <w:szCs w:val="22"/>
          <w:b w:val="1"/>
          <w:bCs w:val="1"/>
          <w:color w:val="auto"/>
        </w:rPr>
        <w:t>VERACYTE, INC.,</w:t>
      </w:r>
      <w:r>
        <w:rPr>
          <w:rFonts w:ascii="Times New Roman" w:cs="Times New Roman" w:eastAsia="Times New Roman" w:hAnsi="Times New Roman"/>
          <w:sz w:val="22"/>
          <w:szCs w:val="22"/>
          <w:color w:val="auto"/>
        </w:rPr>
        <w:t xml:space="preserve"> a Delaware corporation (“Veracyte”), and </w:t>
      </w:r>
      <w:r>
        <w:rPr>
          <w:rFonts w:ascii="Times New Roman" w:cs="Times New Roman" w:eastAsia="Times New Roman" w:hAnsi="Times New Roman"/>
          <w:sz w:val="22"/>
          <w:szCs w:val="22"/>
          <w:b w:val="1"/>
          <w:bCs w:val="1"/>
          <w:color w:val="auto"/>
        </w:rPr>
        <w:t>THYROID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CYTOPATHOLOGY PARTNERS, P.A.</w:t>
      </w:r>
      <w:r>
        <w:rPr>
          <w:rFonts w:ascii="Times New Roman" w:cs="Times New Roman" w:eastAsia="Times New Roman" w:hAnsi="Times New Roman"/>
          <w:sz w:val="22"/>
          <w:szCs w:val="22"/>
          <w:color w:val="auto"/>
        </w:rPr>
        <w:t>, a Texas professional association (“Pathologists”). Veracyte and Pathologists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sometimes referred to in this Agreement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or, collectively,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RECITALS</w:t>
      </w:r>
    </w:p>
    <w:p>
      <w:pPr>
        <w:spacing w:after="0" w:line="247" w:lineRule="exact"/>
        <w:rPr>
          <w:sz w:val="20"/>
          <w:szCs w:val="20"/>
          <w:color w:val="auto"/>
        </w:rPr>
      </w:pPr>
    </w:p>
    <w:p>
      <w:pPr>
        <w:ind w:firstLine="656"/>
        <w:spacing w:after="0" w:line="297" w:lineRule="auto"/>
        <w:tabs>
          <w:tab w:leader="none" w:pos="123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Veracyte and Pathologists entered into that certain Amended and Restated Pathology Services Agreement dated October 16, 2017 (the “Original Agreement”).</w:t>
      </w:r>
    </w:p>
    <w:p>
      <w:pPr>
        <w:spacing w:after="0" w:line="157" w:lineRule="exact"/>
        <w:rPr>
          <w:rFonts w:ascii="Times New Roman" w:cs="Times New Roman" w:eastAsia="Times New Roman" w:hAnsi="Times New Roman"/>
          <w:sz w:val="22"/>
          <w:szCs w:val="22"/>
          <w:color w:val="auto"/>
        </w:rPr>
      </w:pPr>
    </w:p>
    <w:p>
      <w:pPr>
        <w:ind w:firstLine="656"/>
        <w:spacing w:after="0" w:line="297" w:lineRule="auto"/>
        <w:tabs>
          <w:tab w:leader="none" w:pos="124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Veracyte and Pathologists now desire to enter into this Agreement in order to amend and restate the Original Agreement in its entirety.</w:t>
      </w:r>
    </w:p>
    <w:p>
      <w:pPr>
        <w:spacing w:after="0" w:line="157" w:lineRule="exact"/>
        <w:rPr>
          <w:rFonts w:ascii="Times New Roman" w:cs="Times New Roman" w:eastAsia="Times New Roman" w:hAnsi="Times New Roman"/>
          <w:sz w:val="22"/>
          <w:szCs w:val="22"/>
          <w:color w:val="auto"/>
        </w:rPr>
      </w:pPr>
    </w:p>
    <w:p>
      <w:pPr>
        <w:jc w:val="both"/>
        <w:ind w:firstLine="656"/>
        <w:spacing w:after="0" w:line="291" w:lineRule="auto"/>
        <w:tabs>
          <w:tab w:leader="none" w:pos="1155"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Veracyte is engaged in the business of developing and marketing diagnostic testing utilizing Veracyte’s proprietary molecular assays and procuring the related anatomic and cytologic pathology. Veracyte is not licensed to practice medicine, but does require the assistance of pathologists who are licensed in states in which Veracyte does business and in states in which patients who utilize Veracyte’s services reside.</w:t>
      </w:r>
    </w:p>
    <w:p>
      <w:pPr>
        <w:spacing w:after="0" w:line="177" w:lineRule="exact"/>
        <w:rPr>
          <w:rFonts w:ascii="Times New Roman" w:cs="Times New Roman" w:eastAsia="Times New Roman" w:hAnsi="Times New Roman"/>
          <w:sz w:val="22"/>
          <w:szCs w:val="22"/>
          <w:color w:val="auto"/>
        </w:rPr>
      </w:pPr>
    </w:p>
    <w:p>
      <w:pPr>
        <w:ind w:left="1240" w:hanging="584"/>
        <w:spacing w:after="0"/>
        <w:tabs>
          <w:tab w:leader="none" w:pos="124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Pathologists is a Texas professional association which is engaged in the practice of medicine and specializes in</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pathology.</w:t>
      </w:r>
    </w:p>
    <w:p>
      <w:pPr>
        <w:spacing w:after="0" w:line="260" w:lineRule="exact"/>
        <w:rPr>
          <w:rFonts w:ascii="Times New Roman" w:cs="Times New Roman" w:eastAsia="Times New Roman" w:hAnsi="Times New Roman"/>
          <w:sz w:val="22"/>
          <w:szCs w:val="22"/>
          <w:color w:val="auto"/>
        </w:rPr>
      </w:pPr>
    </w:p>
    <w:p>
      <w:pPr>
        <w:ind w:firstLine="656"/>
        <w:spacing w:after="0" w:line="309" w:lineRule="auto"/>
        <w:tabs>
          <w:tab w:leader="none" w:pos="11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Veracyte desires to retain the services of Pathologists to provide professional pathology services on the terms and conditions stated herein.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AGREEMENT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PARTIES AGREE AS FOLLOWS:</w:t>
      </w:r>
    </w:p>
    <w:p>
      <w:pPr>
        <w:spacing w:after="0" w:line="243" w:lineRule="exact"/>
        <w:rPr>
          <w:sz w:val="20"/>
          <w:szCs w:val="20"/>
          <w:color w:val="auto"/>
        </w:rPr>
      </w:pPr>
    </w:p>
    <w:p>
      <w:pPr>
        <w:ind w:left="1040" w:hanging="384"/>
        <w:spacing w:after="0"/>
        <w:tabs>
          <w:tab w:leader="none" w:pos="1040"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Engagement</w:t>
      </w:r>
      <w:r>
        <w:rPr>
          <w:rFonts w:ascii="Times New Roman" w:cs="Times New Roman" w:eastAsia="Times New Roman" w:hAnsi="Times New Roman"/>
          <w:sz w:val="22"/>
          <w:szCs w:val="22"/>
          <w:color w:val="auto"/>
        </w:rPr>
        <w:t>.</w:t>
      </w:r>
    </w:p>
    <w:p>
      <w:pPr>
        <w:spacing w:after="0" w:line="250" w:lineRule="exact"/>
        <w:rPr>
          <w:rFonts w:ascii="Times New Roman" w:cs="Times New Roman" w:eastAsia="Times New Roman" w:hAnsi="Times New Roman"/>
          <w:sz w:val="22"/>
          <w:szCs w:val="22"/>
          <w:b w:val="1"/>
          <w:bCs w:val="1"/>
          <w:color w:val="auto"/>
        </w:rPr>
      </w:pPr>
    </w:p>
    <w:p>
      <w:pPr>
        <w:jc w:val="both"/>
        <w:ind w:firstLine="1305"/>
        <w:spacing w:after="0" w:line="295" w:lineRule="auto"/>
        <w:tabs>
          <w:tab w:leader="none" w:pos="1848"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Scope of Engagement. Veracyte hereby grants to Pathologists the exclusive right to provide cytopathologic studies of thyroid specimens referred to Veracyte for cytology testing, except as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(“Exceptions to Exclusivity”). Unless otherwise agreed in writing, Pathologists shall have no responsibility or liability for:</w:t>
      </w:r>
    </w:p>
    <w:p>
      <w:pPr>
        <w:spacing w:after="0" w:line="174" w:lineRule="exact"/>
        <w:rPr>
          <w:rFonts w:ascii="Times New Roman" w:cs="Times New Roman" w:eastAsia="Times New Roman" w:hAnsi="Times New Roman"/>
          <w:sz w:val="22"/>
          <w:szCs w:val="22"/>
          <w:color w:val="auto"/>
        </w:rPr>
      </w:pPr>
    </w:p>
    <w:p>
      <w:pPr>
        <w:ind w:left="660" w:right="20" w:firstLine="1293"/>
        <w:spacing w:after="0" w:line="297" w:lineRule="auto"/>
        <w:tabs>
          <w:tab w:leader="none" w:pos="2456"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processing of any pathology specimens or for the performance of any clinical laboratory tests by Veracyte or any third party;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420"/>
          </w:cols>
          <w:pgMar w:left="240" w:top="374" w:right="239" w:bottom="1440" w:gutter="0" w:footer="0" w:header="0"/>
        </w:sectPr>
      </w:pPr>
    </w:p>
    <w:bookmarkStart w:id="56" w:name="page57"/>
    <w:bookmarkEnd w:id="56"/>
    <w:p>
      <w:pPr>
        <w:ind w:left="2440" w:hanging="487"/>
        <w:spacing w:after="0"/>
        <w:tabs>
          <w:tab w:leader="none" w:pos="2440"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services provided by third party pathologists engaged by Veracyte pursuant to Section 9(b) below.</w:t>
      </w:r>
    </w:p>
    <w:p>
      <w:pPr>
        <w:spacing w:after="0" w:line="258" w:lineRule="exact"/>
        <w:rPr>
          <w:rFonts w:ascii="Times New Roman" w:cs="Times New Roman" w:eastAsia="Times New Roman" w:hAnsi="Times New Roman"/>
          <w:sz w:val="21"/>
          <w:szCs w:val="21"/>
          <w:color w:val="auto"/>
        </w:rPr>
      </w:pPr>
    </w:p>
    <w:p>
      <w:pPr>
        <w:ind w:firstLine="1305"/>
        <w:spacing w:after="0" w:line="309" w:lineRule="auto"/>
        <w:tabs>
          <w:tab w:leader="none" w:pos="179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Approved Physicians</w:t>
      </w:r>
      <w:r>
        <w:rPr>
          <w:rFonts w:ascii="Times New Roman" w:cs="Times New Roman" w:eastAsia="Times New Roman" w:hAnsi="Times New Roman"/>
          <w:sz w:val="22"/>
          <w:szCs w:val="22"/>
          <w:color w:val="auto"/>
        </w:rPr>
        <w:t xml:space="preserve">. Pathologists will provide the services through individual physicians listed on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(“Approved Physicians”). From time to time additional</w:t>
      </w:r>
    </w:p>
    <w:p>
      <w:pPr>
        <w:spacing w:after="0" w:line="6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2"/>
          <w:szCs w:val="22"/>
          <w:color w:val="auto"/>
        </w:rPr>
        <w:t xml:space="preserve">physicians may be engaged by Pathologists to furnish services under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each additional physician must satisfy the professional standards and qualifications set forth in this Agreement. Veracyte shall have the sole discretion to approve any such physician in writing prior to furnishing services, provided that Pathologists are not in breach of this Agreement, then such approval may not be unreasonably withheld.</w:t>
      </w:r>
    </w:p>
    <w:p>
      <w:pPr>
        <w:spacing w:after="0" w:line="178" w:lineRule="exact"/>
        <w:rPr>
          <w:sz w:val="20"/>
          <w:szCs w:val="20"/>
          <w:color w:val="auto"/>
        </w:rPr>
      </w:pPr>
    </w:p>
    <w:p>
      <w:pPr>
        <w:ind w:left="1300"/>
        <w:spacing w:after="0"/>
        <w:tabs>
          <w:tab w:leader="none" w:pos="186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u w:val="single" w:color="auto"/>
          <w:color w:val="auto"/>
        </w:rPr>
        <w:t>Geographic Limitation</w:t>
      </w:r>
      <w:r>
        <w:rPr>
          <w:rFonts w:ascii="Times New Roman" w:cs="Times New Roman" w:eastAsia="Times New Roman" w:hAnsi="Times New Roman"/>
          <w:sz w:val="22"/>
          <w:szCs w:val="22"/>
          <w:color w:val="auto"/>
        </w:rPr>
        <w:t>. Services will be provided in the Austin, Texas metropolitan area unless otherwise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agreed.</w:t>
      </w:r>
    </w:p>
    <w:p>
      <w:pPr>
        <w:spacing w:after="0" w:line="247" w:lineRule="exact"/>
        <w:rPr>
          <w:sz w:val="20"/>
          <w:szCs w:val="20"/>
          <w:color w:val="auto"/>
        </w:rPr>
      </w:pPr>
    </w:p>
    <w:p>
      <w:pPr>
        <w:jc w:val="both"/>
        <w:ind w:firstLine="1305"/>
        <w:spacing w:after="0" w:line="315" w:lineRule="auto"/>
        <w:tabs>
          <w:tab w:leader="none" w:pos="1927"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International Arrangements</w:t>
      </w:r>
      <w:r>
        <w:rPr>
          <w:rFonts w:ascii="Times New Roman" w:cs="Times New Roman" w:eastAsia="Times New Roman" w:hAnsi="Times New Roman"/>
          <w:sz w:val="21"/>
          <w:szCs w:val="21"/>
          <w:color w:val="auto"/>
        </w:rPr>
        <w:t>. The Parties shall meet and confer in good faith to negotiate the terms and conditions pursuant to which the Services may be provided by Pathologists for samples obtained outside of the United States by Veracyte. Veracyte may engage multiple service providers to provide the Services for patients located outside of the United States.</w:t>
      </w:r>
    </w:p>
    <w:p>
      <w:pPr>
        <w:spacing w:after="0" w:line="152" w:lineRule="exact"/>
        <w:rPr>
          <w:rFonts w:ascii="Times New Roman" w:cs="Times New Roman" w:eastAsia="Times New Roman" w:hAnsi="Times New Roman"/>
          <w:sz w:val="21"/>
          <w:szCs w:val="21"/>
          <w:color w:val="auto"/>
        </w:rPr>
      </w:pPr>
    </w:p>
    <w:p>
      <w:pPr>
        <w:ind w:left="1040" w:hanging="384"/>
        <w:spacing w:after="0"/>
        <w:tabs>
          <w:tab w:leader="none" w:pos="1040"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Duties and Responsibilities of Pathologists</w:t>
      </w:r>
      <w:r>
        <w:rPr>
          <w:rFonts w:ascii="Times New Roman" w:cs="Times New Roman" w:eastAsia="Times New Roman" w:hAnsi="Times New Roman"/>
          <w:sz w:val="22"/>
          <w:szCs w:val="22"/>
          <w:color w:val="auto"/>
        </w:rPr>
        <w:t>.</w:t>
      </w:r>
    </w:p>
    <w:p>
      <w:pPr>
        <w:spacing w:after="0" w:line="250" w:lineRule="exact"/>
        <w:rPr>
          <w:rFonts w:ascii="Times New Roman" w:cs="Times New Roman" w:eastAsia="Times New Roman" w:hAnsi="Times New Roman"/>
          <w:sz w:val="22"/>
          <w:szCs w:val="22"/>
          <w:b w:val="1"/>
          <w:bCs w:val="1"/>
          <w:color w:val="auto"/>
        </w:rPr>
      </w:pPr>
    </w:p>
    <w:p>
      <w:pPr>
        <w:jc w:val="both"/>
        <w:ind w:firstLine="1305"/>
        <w:spacing w:after="0" w:line="295" w:lineRule="auto"/>
        <w:tabs>
          <w:tab w:leader="none" w:pos="1928"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Pathology Services</w:t>
      </w:r>
      <w:r>
        <w:rPr>
          <w:rFonts w:ascii="Times New Roman" w:cs="Times New Roman" w:eastAsia="Times New Roman" w:hAnsi="Times New Roman"/>
          <w:sz w:val="22"/>
          <w:szCs w:val="22"/>
          <w:color w:val="auto"/>
        </w:rPr>
        <w:t>. Pathologists shall provide physicians and other qualified professionals necessary to provide comprehensive professional cytology evaluation on thyroid specimens from patients referred to Veracyte. Pathology services include (collectively, the “Services”):</w:t>
      </w:r>
    </w:p>
    <w:p>
      <w:pPr>
        <w:spacing w:after="0" w:line="174" w:lineRule="exact"/>
        <w:rPr>
          <w:rFonts w:ascii="Times New Roman" w:cs="Times New Roman" w:eastAsia="Times New Roman" w:hAnsi="Times New Roman"/>
          <w:sz w:val="22"/>
          <w:szCs w:val="22"/>
          <w:color w:val="auto"/>
        </w:rPr>
      </w:pPr>
    </w:p>
    <w:p>
      <w:pPr>
        <w:ind w:firstLine="1953"/>
        <w:spacing w:after="0" w:line="309" w:lineRule="auto"/>
        <w:tabs>
          <w:tab w:leader="none" w:pos="2552" w:val="left"/>
        </w:tabs>
        <w:numPr>
          <w:ilvl w:val="2"/>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macroscopic and microscopic examinations of thyroid cytology specimens including microscopic evaluation of cell blocks prepared on fluids from thyroid FNAs;</w:t>
      </w:r>
    </w:p>
    <w:p>
      <w:pPr>
        <w:spacing w:after="0" w:line="158" w:lineRule="exact"/>
        <w:rPr>
          <w:rFonts w:ascii="Times New Roman" w:cs="Times New Roman" w:eastAsia="Times New Roman" w:hAnsi="Times New Roman"/>
          <w:sz w:val="22"/>
          <w:szCs w:val="22"/>
          <w:color w:val="auto"/>
        </w:rPr>
      </w:pPr>
    </w:p>
    <w:p>
      <w:pPr>
        <w:ind w:left="2440" w:hanging="487"/>
        <w:spacing w:after="0"/>
        <w:tabs>
          <w:tab w:leader="none" w:pos="2440" w:val="left"/>
        </w:tabs>
        <w:numPr>
          <w:ilvl w:val="2"/>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evaluation of thyroid FNAs;</w:t>
      </w:r>
    </w:p>
    <w:p>
      <w:pPr>
        <w:spacing w:after="0" w:line="246" w:lineRule="exact"/>
        <w:rPr>
          <w:rFonts w:ascii="Times New Roman" w:cs="Times New Roman" w:eastAsia="Times New Roman" w:hAnsi="Times New Roman"/>
          <w:sz w:val="22"/>
          <w:szCs w:val="22"/>
          <w:color w:val="auto"/>
        </w:rPr>
      </w:pPr>
    </w:p>
    <w:p>
      <w:pPr>
        <w:ind w:left="660" w:firstLine="1293"/>
        <w:spacing w:after="0" w:line="309" w:lineRule="auto"/>
        <w:tabs>
          <w:tab w:leader="none" w:pos="2700" w:val="left"/>
        </w:tabs>
        <w:numPr>
          <w:ilvl w:val="2"/>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occasion TCP may receive requests for consultations as well as for evaluation of non-thyroid FNAs, such as salivary glands or Lymph Nodes;</w:t>
      </w:r>
    </w:p>
    <w:p>
      <w:pPr>
        <w:spacing w:after="0" w:line="159" w:lineRule="exact"/>
        <w:rPr>
          <w:sz w:val="20"/>
          <w:szCs w:val="20"/>
          <w:color w:val="auto"/>
        </w:rPr>
      </w:pPr>
    </w:p>
    <w:p>
      <w:pPr>
        <w:ind w:left="3980" w:hanging="519"/>
        <w:spacing w:after="0"/>
        <w:tabs>
          <w:tab w:leader="none" w:pos="398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interpretation of immunohistochemical stains;</w:t>
      </w:r>
    </w:p>
    <w:p>
      <w:pPr>
        <w:spacing w:after="0" w:line="246" w:lineRule="exact"/>
        <w:rPr>
          <w:rFonts w:ascii="Times New Roman" w:cs="Times New Roman" w:eastAsia="Times New Roman" w:hAnsi="Times New Roman"/>
          <w:sz w:val="22"/>
          <w:szCs w:val="22"/>
          <w:color w:val="auto"/>
        </w:rPr>
      </w:pPr>
    </w:p>
    <w:p>
      <w:pPr>
        <w:ind w:left="2460" w:hanging="507"/>
        <w:spacing w:after="0"/>
        <w:tabs>
          <w:tab w:leader="none" w:pos="246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reporting of these examinations and findings in accordance with Veracyte’s laboratory information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system and protocols;</w:t>
      </w:r>
    </w:p>
    <w:p>
      <w:pPr>
        <w:spacing w:after="0" w:line="260" w:lineRule="exact"/>
        <w:rPr>
          <w:sz w:val="20"/>
          <w:szCs w:val="20"/>
          <w:color w:val="auto"/>
        </w:rPr>
      </w:pPr>
    </w:p>
    <w:p>
      <w:pPr>
        <w:jc w:val="both"/>
        <w:ind w:firstLine="1953"/>
        <w:spacing w:after="0" w:line="295" w:lineRule="auto"/>
        <w:tabs>
          <w:tab w:leader="none" w:pos="2575"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CPT-4 coding in compliance with all applicable federal, state and local laws, rules and regulations (collectively, the “Laws”) with respect to the Medicare and Medicaid programs and any other Federal health care program, as defined at 42 U.S.C. Section 1320a-7b(f) (collectively, the “Federal Health Care Programs”); and</w:t>
      </w:r>
    </w:p>
    <w:p>
      <w:pPr>
        <w:spacing w:after="0" w:line="175" w:lineRule="exact"/>
        <w:rPr>
          <w:sz w:val="20"/>
          <w:szCs w:val="20"/>
          <w:color w:val="auto"/>
        </w:rPr>
      </w:pPr>
    </w:p>
    <w:p>
      <w:pPr>
        <w:ind w:left="3940" w:hanging="419"/>
        <w:spacing w:after="0"/>
        <w:tabs>
          <w:tab w:leader="none" w:pos="39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additional services set forth on Exhibit C.</w:t>
      </w:r>
    </w:p>
    <w:p>
      <w:pPr>
        <w:spacing w:after="0" w:line="251" w:lineRule="exact"/>
        <w:rPr>
          <w:rFonts w:ascii="Times New Roman" w:cs="Times New Roman" w:eastAsia="Times New Roman" w:hAnsi="Times New Roman"/>
          <w:sz w:val="22"/>
          <w:szCs w:val="22"/>
          <w:color w:val="auto"/>
        </w:rPr>
      </w:pPr>
    </w:p>
    <w:p>
      <w:pPr>
        <w:ind w:left="5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2</w:t>
      </w:r>
    </w:p>
    <w:p>
      <w:pPr>
        <w:sectPr>
          <w:pgSz w:w="11900" w:h="16838" w:orient="portrait"/>
          <w:cols w:equalWidth="0" w:num="1">
            <w:col w:w="11420"/>
          </w:cols>
          <w:pgMar w:left="240" w:top="598" w:right="239" w:bottom="1440" w:gutter="0" w:footer="0" w:header="0"/>
        </w:sectPr>
      </w:pPr>
    </w:p>
    <w:bookmarkStart w:id="57" w:name="page58"/>
    <w:bookmarkEnd w:id="57"/>
    <w:p>
      <w:pPr>
        <w:jc w:val="both"/>
        <w:ind w:firstLine="1305"/>
        <w:spacing w:after="0" w:line="291" w:lineRule="auto"/>
        <w:tabs>
          <w:tab w:leader="none" w:pos="1805"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Equipment</w:t>
      </w:r>
      <w:r>
        <w:rPr>
          <w:rFonts w:ascii="Times New Roman" w:cs="Times New Roman" w:eastAsia="Times New Roman" w:hAnsi="Times New Roman"/>
          <w:sz w:val="22"/>
          <w:szCs w:val="22"/>
          <w:color w:val="auto"/>
        </w:rPr>
        <w:t>. Pathologists shall provide microscopes and computers required to perform the Services. Veracyte shall provide or bear all other facilities and equipment costs, including the cost of telecommunications, software for report generation and any additional hardware, software or computer system infrastructure required by Veracyte or needed to meet Veracyte’s standards.</w:t>
      </w:r>
    </w:p>
    <w:p>
      <w:pPr>
        <w:spacing w:after="0" w:line="177" w:lineRule="exact"/>
        <w:rPr>
          <w:rFonts w:ascii="Times New Roman" w:cs="Times New Roman" w:eastAsia="Times New Roman" w:hAnsi="Times New Roman"/>
          <w:sz w:val="22"/>
          <w:szCs w:val="22"/>
          <w:color w:val="auto"/>
        </w:rPr>
      </w:pPr>
    </w:p>
    <w:p>
      <w:pPr>
        <w:ind w:firstLine="1305"/>
        <w:spacing w:after="0" w:line="309" w:lineRule="auto"/>
        <w:tabs>
          <w:tab w:leader="none" w:pos="1752"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Consultation</w:t>
      </w:r>
      <w:r>
        <w:rPr>
          <w:rFonts w:ascii="Times New Roman" w:cs="Times New Roman" w:eastAsia="Times New Roman" w:hAnsi="Times New Roman"/>
          <w:sz w:val="22"/>
          <w:szCs w:val="22"/>
          <w:color w:val="auto"/>
        </w:rPr>
        <w:t>. Pathologists shall consult with Veracyte’s laboratory director, if any, as clinically appropriate and in accordance with applicable licensing, accreditation and certification standards and requirements.</w:t>
      </w:r>
    </w:p>
    <w:p>
      <w:pPr>
        <w:spacing w:after="0" w:line="158" w:lineRule="exact"/>
        <w:rPr>
          <w:rFonts w:ascii="Times New Roman" w:cs="Times New Roman" w:eastAsia="Times New Roman" w:hAnsi="Times New Roman"/>
          <w:sz w:val="22"/>
          <w:szCs w:val="22"/>
          <w:color w:val="auto"/>
        </w:rPr>
      </w:pPr>
    </w:p>
    <w:p>
      <w:pPr>
        <w:jc w:val="both"/>
        <w:ind w:firstLine="1305"/>
        <w:spacing w:after="0" w:line="285" w:lineRule="auto"/>
        <w:tabs>
          <w:tab w:leader="none" w:pos="1954"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Business Promotion</w:t>
      </w:r>
      <w:r>
        <w:rPr>
          <w:rFonts w:ascii="Times New Roman" w:cs="Times New Roman" w:eastAsia="Times New Roman" w:hAnsi="Times New Roman"/>
          <w:sz w:val="22"/>
          <w:szCs w:val="22"/>
          <w:color w:val="auto"/>
        </w:rPr>
        <w:t>. Pathologists shall assist Veracyte, at Veracyte’s expense (which expenses shall be approved in advance by Veracyte), with promotion of the business as mutually agreed upon by the Parties. Pathologists shall also participate in Veracyte’s branding and marketing programs as necessary to establish a unity of purpose in providing high quality technical and professional services to Veracyte’s clients, all in compliance with the Laws applicable to the provision of clinical laboratory and pathology services under this Agreement. All marketing and promotion activities (which shall not include Pathologists’ physician recruiting activities) shall be conducted solely at the direction of, as approved by, and in consultation with Veracyte. Veracyte shall have sole right and authority to approve the content and placement of any and all marketing and promotional materials relating to the Services provided under this Agreement.</w:t>
      </w:r>
    </w:p>
    <w:p>
      <w:pPr>
        <w:spacing w:after="0" w:line="189" w:lineRule="exact"/>
        <w:rPr>
          <w:rFonts w:ascii="Times New Roman" w:cs="Times New Roman" w:eastAsia="Times New Roman" w:hAnsi="Times New Roman"/>
          <w:sz w:val="22"/>
          <w:szCs w:val="22"/>
          <w:color w:val="auto"/>
        </w:rPr>
      </w:pPr>
    </w:p>
    <w:p>
      <w:pPr>
        <w:ind w:firstLine="1305"/>
        <w:spacing w:after="0" w:line="309" w:lineRule="auto"/>
        <w:tabs>
          <w:tab w:leader="none" w:pos="182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Program</w:t>
      </w:r>
      <w:r>
        <w:rPr>
          <w:rFonts w:ascii="Times New Roman" w:cs="Times New Roman" w:eastAsia="Times New Roman" w:hAnsi="Times New Roman"/>
          <w:sz w:val="22"/>
          <w:szCs w:val="22"/>
          <w:color w:val="auto"/>
        </w:rPr>
        <w:t>. Pathologists shall participate in and abide by Veracyte’s compliance program, policies and procedures, as established or adopted from time to time.</w:t>
      </w:r>
    </w:p>
    <w:p>
      <w:pPr>
        <w:spacing w:after="0" w:line="158" w:lineRule="exact"/>
        <w:rPr>
          <w:rFonts w:ascii="Times New Roman" w:cs="Times New Roman" w:eastAsia="Times New Roman" w:hAnsi="Times New Roman"/>
          <w:sz w:val="22"/>
          <w:szCs w:val="22"/>
          <w:color w:val="auto"/>
        </w:rPr>
      </w:pPr>
    </w:p>
    <w:p>
      <w:pPr>
        <w:jc w:val="both"/>
        <w:ind w:firstLine="1305"/>
        <w:spacing w:after="0" w:line="291" w:lineRule="auto"/>
        <w:tabs>
          <w:tab w:leader="none" w:pos="1728"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Designation of Agent</w:t>
      </w:r>
      <w:r>
        <w:rPr>
          <w:rFonts w:ascii="Times New Roman" w:cs="Times New Roman" w:eastAsia="Times New Roman" w:hAnsi="Times New Roman"/>
          <w:sz w:val="22"/>
          <w:szCs w:val="22"/>
          <w:color w:val="auto"/>
        </w:rPr>
        <w:t>. Tom Traweek, M.D. shall serve as Pathologists’ sole and exclusive agent for purposes of communicating with Veracyte concerning the rights of Pathologists pursuant to this Agreement. Pathologists shall be bound by all actions and agreements made by this agent. Pathologists may designate, from time to time, a new agent, pursuant to written notice to Veracyte.</w:t>
      </w:r>
    </w:p>
    <w:p>
      <w:pPr>
        <w:spacing w:after="0" w:line="177" w:lineRule="exact"/>
        <w:rPr>
          <w:rFonts w:ascii="Times New Roman" w:cs="Times New Roman" w:eastAsia="Times New Roman" w:hAnsi="Times New Roman"/>
          <w:sz w:val="22"/>
          <w:szCs w:val="22"/>
          <w:color w:val="auto"/>
        </w:rPr>
      </w:pPr>
    </w:p>
    <w:p>
      <w:pPr>
        <w:jc w:val="both"/>
        <w:ind w:firstLine="1305"/>
        <w:spacing w:after="0" w:line="288" w:lineRule="auto"/>
        <w:tabs>
          <w:tab w:leader="none" w:pos="2116"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Physician Compensation Arrangements</w:t>
      </w:r>
      <w:r>
        <w:rPr>
          <w:rFonts w:ascii="Times New Roman" w:cs="Times New Roman" w:eastAsia="Times New Roman" w:hAnsi="Times New Roman"/>
          <w:sz w:val="22"/>
          <w:szCs w:val="22"/>
          <w:color w:val="auto"/>
        </w:rPr>
        <w:t>. Pathologists represents and warrants to Veracyte that the compensation paid or to be paid by Pathologists to any physician is and will at all times be fair market value for services and items actually provided by such physician, not taking into account the value or volume of referrals or other business generated by such physician for Veracyte. Pathologists further represent and warrant to Veracyte that Pathologists has and will at all times maintain a written agreement with each physician receiving compensation from Pathologists.</w:t>
      </w:r>
    </w:p>
    <w:p>
      <w:pPr>
        <w:spacing w:after="0" w:line="179"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Qualifications of Approved Physicians</w:t>
      </w:r>
      <w:r>
        <w:rPr>
          <w:rFonts w:ascii="Times New Roman" w:cs="Times New Roman" w:eastAsia="Times New Roman" w:hAnsi="Times New Roman"/>
          <w:sz w:val="22"/>
          <w:szCs w:val="22"/>
          <w:color w:val="auto"/>
        </w:rPr>
        <w:t>.</w:t>
      </w:r>
    </w:p>
    <w:p>
      <w:pPr>
        <w:spacing w:after="0" w:line="264" w:lineRule="exact"/>
        <w:rPr>
          <w:rFonts w:ascii="Times New Roman" w:cs="Times New Roman" w:eastAsia="Times New Roman" w:hAnsi="Times New Roman"/>
          <w:sz w:val="22"/>
          <w:szCs w:val="22"/>
          <w:b w:val="1"/>
          <w:bCs w:val="1"/>
          <w:color w:val="auto"/>
        </w:rPr>
      </w:pPr>
    </w:p>
    <w:p>
      <w:pPr>
        <w:jc w:val="both"/>
        <w:ind w:firstLine="1305"/>
        <w:spacing w:after="0" w:line="315" w:lineRule="auto"/>
        <w:tabs>
          <w:tab w:leader="none" w:pos="1806"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Licenses and Certifications</w:t>
      </w:r>
      <w:r>
        <w:rPr>
          <w:rFonts w:ascii="Times New Roman" w:cs="Times New Roman" w:eastAsia="Times New Roman" w:hAnsi="Times New Roman"/>
          <w:sz w:val="21"/>
          <w:szCs w:val="21"/>
          <w:color w:val="auto"/>
        </w:rPr>
        <w:t>. Pathologists shall ensure that each Approved Physician: (i) has and maintains an unrestricted license to practice medicine in one or more of the Covered States as set forth herein, (ii) is and remains board certified in pathology by the applicable medical specialty board approved by the American Board of Medical Specialties, (iii) is and remains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420"/>
          </w:cols>
          <w:pgMar w:left="240" w:top="598" w:right="239" w:bottom="1440" w:gutter="0" w:footer="0" w:header="0"/>
        </w:sectPr>
      </w:pPr>
    </w:p>
    <w:bookmarkStart w:id="58" w:name="page59"/>
    <w:bookmarkEnd w:id="58"/>
    <w:p>
      <w:pPr>
        <w:jc w:val="both"/>
        <w:spacing w:after="0" w:line="295" w:lineRule="auto"/>
        <w:rPr>
          <w:sz w:val="20"/>
          <w:szCs w:val="20"/>
          <w:color w:val="auto"/>
        </w:rPr>
      </w:pPr>
      <w:r>
        <w:rPr>
          <w:rFonts w:ascii="Times New Roman" w:cs="Times New Roman" w:eastAsia="Times New Roman" w:hAnsi="Times New Roman"/>
          <w:sz w:val="22"/>
          <w:szCs w:val="22"/>
          <w:color w:val="auto"/>
        </w:rPr>
        <w:t>a participating provider in all Federal Health Care Programs, (iv) participates in continuing education as necessary to maintain licensure, professional competence and skills commensurate with the standards of the medical community, and (v) meets all other licensing, credentialing and certification standards as mutually defined and agreed to during the term of this Agreement.</w:t>
      </w:r>
    </w:p>
    <w:p>
      <w:pPr>
        <w:spacing w:after="0" w:line="175" w:lineRule="exact"/>
        <w:rPr>
          <w:sz w:val="20"/>
          <w:szCs w:val="20"/>
          <w:color w:val="auto"/>
        </w:rPr>
      </w:pPr>
    </w:p>
    <w:p>
      <w:pPr>
        <w:ind w:left="1780" w:hanging="475"/>
        <w:spacing w:after="0"/>
        <w:tabs>
          <w:tab w:leader="none" w:pos="17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Covered States</w:t>
      </w:r>
      <w:r>
        <w:rPr>
          <w:rFonts w:ascii="Times New Roman" w:cs="Times New Roman" w:eastAsia="Times New Roman" w:hAnsi="Times New Roman"/>
          <w:sz w:val="22"/>
          <w:szCs w:val="22"/>
          <w:color w:val="auto"/>
        </w:rPr>
        <w:t>. Veracyte may provide specimens from the fifty United States (the “Covered States”).</w:t>
      </w:r>
    </w:p>
    <w:p>
      <w:pPr>
        <w:spacing w:after="0" w:line="273" w:lineRule="exact"/>
        <w:rPr>
          <w:rFonts w:ascii="Times New Roman" w:cs="Times New Roman" w:eastAsia="Times New Roman" w:hAnsi="Times New Roman"/>
          <w:sz w:val="22"/>
          <w:szCs w:val="22"/>
          <w:color w:val="auto"/>
        </w:rPr>
      </w:pPr>
    </w:p>
    <w:p>
      <w:pPr>
        <w:ind w:right="20" w:firstLine="1305"/>
        <w:spacing w:after="0" w:line="297" w:lineRule="auto"/>
        <w:tabs>
          <w:tab w:leader="none" w:pos="1955"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Notification of Issues</w:t>
      </w:r>
      <w:r>
        <w:rPr>
          <w:rFonts w:ascii="Times New Roman" w:cs="Times New Roman" w:eastAsia="Times New Roman" w:hAnsi="Times New Roman"/>
          <w:sz w:val="22"/>
          <w:szCs w:val="22"/>
          <w:color w:val="auto"/>
        </w:rPr>
        <w:t>. Pathologists shall notify Veracyte in writing within two (2) business days after Pathologists becomes aware of any one or more of the following events:</w:t>
      </w: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ind w:left="660" w:right="20" w:firstLine="1293"/>
        <w:spacing w:after="0" w:line="297" w:lineRule="auto"/>
        <w:tabs>
          <w:tab w:leader="none" w:pos="2373"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Approved Physician becomes the subject of any suit, action or other legal proceeding arising out of Pathologists’ professional services;</w:t>
      </w:r>
    </w:p>
    <w:p>
      <w:pPr>
        <w:spacing w:after="0" w:line="157" w:lineRule="exact"/>
        <w:rPr>
          <w:rFonts w:ascii="Times New Roman" w:cs="Times New Roman" w:eastAsia="Times New Roman" w:hAnsi="Times New Roman"/>
          <w:sz w:val="22"/>
          <w:szCs w:val="22"/>
          <w:color w:val="auto"/>
        </w:rPr>
      </w:pPr>
    </w:p>
    <w:p>
      <w:pPr>
        <w:ind w:left="660" w:firstLine="1293"/>
        <w:spacing w:after="0" w:line="297" w:lineRule="auto"/>
        <w:tabs>
          <w:tab w:leader="none" w:pos="2452"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Approved Physician is required to pay damages or any other amount in any malpractice action by way of judgment or settlement;</w:t>
      </w:r>
    </w:p>
    <w:p>
      <w:pPr>
        <w:spacing w:after="0" w:line="157" w:lineRule="exact"/>
        <w:rPr>
          <w:rFonts w:ascii="Times New Roman" w:cs="Times New Roman" w:eastAsia="Times New Roman" w:hAnsi="Times New Roman"/>
          <w:sz w:val="22"/>
          <w:szCs w:val="22"/>
          <w:color w:val="auto"/>
        </w:rPr>
      </w:pPr>
    </w:p>
    <w:p>
      <w:pPr>
        <w:ind w:left="660" w:right="20" w:firstLine="1293"/>
        <w:spacing w:after="0" w:line="309" w:lineRule="auto"/>
        <w:tabs>
          <w:tab w:leader="none" w:pos="2336"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Approved Physician becomes the subject of any disciplinary proceeding or action before any state’s medical board or similar agency responsible for professional standards or behavior;</w:t>
      </w:r>
    </w:p>
    <w:p>
      <w:pPr>
        <w:spacing w:after="0" w:line="158" w:lineRule="exact"/>
        <w:rPr>
          <w:rFonts w:ascii="Times New Roman" w:cs="Times New Roman" w:eastAsia="Times New Roman" w:hAnsi="Times New Roman"/>
          <w:sz w:val="22"/>
          <w:szCs w:val="22"/>
          <w:color w:val="auto"/>
        </w:rPr>
      </w:pPr>
    </w:p>
    <w:p>
      <w:pPr>
        <w:ind w:left="2320" w:hanging="367"/>
        <w:spacing w:after="0"/>
        <w:tabs>
          <w:tab w:leader="none" w:pos="232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Approved Physician becomes permanently incapacitated or disabled from practicing medicine;</w:t>
      </w:r>
    </w:p>
    <w:p>
      <w:pPr>
        <w:spacing w:after="0" w:line="260" w:lineRule="exact"/>
        <w:rPr>
          <w:rFonts w:ascii="Times New Roman" w:cs="Times New Roman" w:eastAsia="Times New Roman" w:hAnsi="Times New Roman"/>
          <w:sz w:val="22"/>
          <w:szCs w:val="22"/>
          <w:color w:val="auto"/>
        </w:rPr>
      </w:pPr>
    </w:p>
    <w:p>
      <w:pPr>
        <w:ind w:left="660" w:firstLine="1293"/>
        <w:spacing w:after="0" w:line="297" w:lineRule="auto"/>
        <w:tabs>
          <w:tab w:leader="none" w:pos="2531"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 of nature or any other event occurs which has a material adverse effect on any Approved Physician’s ability to perform the Services;</w:t>
      </w:r>
    </w:p>
    <w:p>
      <w:pPr>
        <w:spacing w:after="0" w:line="157" w:lineRule="exact"/>
        <w:rPr>
          <w:rFonts w:ascii="Times New Roman" w:cs="Times New Roman" w:eastAsia="Times New Roman" w:hAnsi="Times New Roman"/>
          <w:sz w:val="22"/>
          <w:szCs w:val="22"/>
          <w:color w:val="auto"/>
        </w:rPr>
      </w:pPr>
    </w:p>
    <w:p>
      <w:pPr>
        <w:ind w:left="660" w:firstLine="1293"/>
        <w:spacing w:after="0" w:line="309" w:lineRule="auto"/>
        <w:tabs>
          <w:tab w:leader="none" w:pos="236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Approved Physician is charged with or convicted of a felony, a misdemeanor involving fraud, dishonesty, or moral turpitude, or any crime relevant to the practice of medicine; or</w:t>
      </w:r>
    </w:p>
    <w:p>
      <w:pPr>
        <w:spacing w:after="0" w:line="158" w:lineRule="exact"/>
        <w:rPr>
          <w:rFonts w:ascii="Times New Roman" w:cs="Times New Roman" w:eastAsia="Times New Roman" w:hAnsi="Times New Roman"/>
          <w:sz w:val="22"/>
          <w:szCs w:val="22"/>
          <w:color w:val="auto"/>
        </w:rPr>
      </w:pPr>
    </w:p>
    <w:p>
      <w:pPr>
        <w:ind w:left="660" w:firstLine="1293"/>
        <w:spacing w:after="0" w:line="309" w:lineRule="auto"/>
        <w:tabs>
          <w:tab w:leader="none" w:pos="2395"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Approved Physician is debarred, suspended, excluded or otherwise ineligible to participate in any federal or state health care program.</w:t>
      </w:r>
    </w:p>
    <w:p>
      <w:pPr>
        <w:spacing w:after="0" w:line="158" w:lineRule="exact"/>
        <w:rPr>
          <w:rFonts w:ascii="Times New Roman" w:cs="Times New Roman" w:eastAsia="Times New Roman" w:hAnsi="Times New Roman"/>
          <w:sz w:val="22"/>
          <w:szCs w:val="22"/>
          <w:color w:val="auto"/>
        </w:rPr>
      </w:pPr>
    </w:p>
    <w:p>
      <w:pPr>
        <w:ind w:firstLine="1305"/>
        <w:spacing w:after="0" w:line="297" w:lineRule="auto"/>
        <w:tabs>
          <w:tab w:leader="none" w:pos="1765"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 Removal</w:t>
      </w:r>
      <w:r>
        <w:rPr>
          <w:rFonts w:ascii="Times New Roman" w:cs="Times New Roman" w:eastAsia="Times New Roman" w:hAnsi="Times New Roman"/>
          <w:sz w:val="22"/>
          <w:szCs w:val="22"/>
          <w:color w:val="auto"/>
        </w:rPr>
        <w:t>. Pathologists shall immediately remove any Approved Physician from furnishing Services under this Agreement who:</w:t>
      </w:r>
    </w:p>
    <w:p>
      <w:pPr>
        <w:spacing w:after="0" w:line="157" w:lineRule="exact"/>
        <w:rPr>
          <w:rFonts w:ascii="Times New Roman" w:cs="Times New Roman" w:eastAsia="Times New Roman" w:hAnsi="Times New Roman"/>
          <w:sz w:val="22"/>
          <w:szCs w:val="22"/>
          <w:color w:val="auto"/>
        </w:rPr>
      </w:pPr>
    </w:p>
    <w:p>
      <w:pPr>
        <w:jc w:val="both"/>
        <w:ind w:left="660" w:firstLine="1293"/>
        <w:spacing w:after="0" w:line="295" w:lineRule="auto"/>
        <w:tabs>
          <w:tab w:leader="none" w:pos="2485"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his or her state license to practice medicine or board certification denied, suspended, restricted, terminated, revoked or relinquished for any reason, whether voluntarily or involuntarily, temporarily or permanently, regardless of the availability of civil or administrative hearing rights or judicial review with respect thereto;</w:t>
      </w:r>
    </w:p>
    <w:p>
      <w:pPr>
        <w:spacing w:after="0" w:line="174" w:lineRule="exact"/>
        <w:rPr>
          <w:rFonts w:ascii="Times New Roman" w:cs="Times New Roman" w:eastAsia="Times New Roman" w:hAnsi="Times New Roman"/>
          <w:sz w:val="22"/>
          <w:szCs w:val="22"/>
          <w:color w:val="auto"/>
        </w:rPr>
      </w:pPr>
    </w:p>
    <w:p>
      <w:pPr>
        <w:ind w:left="2560" w:hanging="607"/>
        <w:spacing w:after="0"/>
        <w:tabs>
          <w:tab w:leader="none" w:pos="256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debarred, suspended, excluded or otherwise ineligible to participate in any Federal Health Care</w:t>
      </w:r>
    </w:p>
    <w:p>
      <w:pPr>
        <w:spacing w:after="0" w:line="30"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Program; or</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420"/>
          </w:cols>
          <w:pgMar w:left="240" w:top="598" w:right="239" w:bottom="1440" w:gutter="0" w:footer="0" w:header="0"/>
        </w:sectPr>
      </w:pPr>
    </w:p>
    <w:bookmarkStart w:id="59" w:name="page60"/>
    <w:bookmarkEnd w:id="59"/>
    <w:p>
      <w:pPr>
        <w:ind w:left="1960"/>
        <w:spacing w:after="0"/>
        <w:tabs>
          <w:tab w:leader="none" w:pos="2660" w:val="left"/>
        </w:tabs>
        <w:rPr>
          <w:sz w:val="20"/>
          <w:szCs w:val="20"/>
          <w:color w:val="auto"/>
        </w:rPr>
      </w:pPr>
      <w:r>
        <w:rPr>
          <w:rFonts w:ascii="Times New Roman" w:cs="Times New Roman" w:eastAsia="Times New Roman" w:hAnsi="Times New Roman"/>
          <w:sz w:val="22"/>
          <w:szCs w:val="22"/>
          <w:color w:val="auto"/>
        </w:rPr>
        <w:t>(iii)</w:t>
      </w:r>
      <w:r>
        <w:rPr>
          <w:sz w:val="20"/>
          <w:szCs w:val="20"/>
          <w:color w:val="auto"/>
        </w:rPr>
        <w:tab/>
      </w:r>
      <w:r>
        <w:rPr>
          <w:rFonts w:ascii="Times New Roman" w:cs="Times New Roman" w:eastAsia="Times New Roman" w:hAnsi="Times New Roman"/>
          <w:sz w:val="22"/>
          <w:szCs w:val="22"/>
          <w:color w:val="auto"/>
        </w:rPr>
        <w:t>fails to be covered by the professional liability insurance required to be maintained under this</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Agreement.</w:t>
      </w:r>
    </w:p>
    <w:p>
      <w:pPr>
        <w:spacing w:after="0" w:line="247" w:lineRule="exact"/>
        <w:rPr>
          <w:sz w:val="20"/>
          <w:szCs w:val="20"/>
          <w:color w:val="auto"/>
        </w:rPr>
      </w:pPr>
    </w:p>
    <w:p>
      <w:pPr>
        <w:ind w:right="20" w:firstLine="1305"/>
        <w:spacing w:after="0" w:line="309" w:lineRule="auto"/>
        <w:tabs>
          <w:tab w:leader="none" w:pos="192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Removal Upon Request</w:t>
      </w:r>
      <w:r>
        <w:rPr>
          <w:rFonts w:ascii="Times New Roman" w:cs="Times New Roman" w:eastAsia="Times New Roman" w:hAnsi="Times New Roman"/>
          <w:sz w:val="22"/>
          <w:szCs w:val="22"/>
          <w:color w:val="auto"/>
        </w:rPr>
        <w:t>. Upon written request by Veracyte, Pathologists shall immediately remove any Approved Physician from furnishing Services under this Agreement who:</w:t>
      </w:r>
    </w:p>
    <w:p>
      <w:pPr>
        <w:spacing w:after="0" w:line="158" w:lineRule="exact"/>
        <w:rPr>
          <w:rFonts w:ascii="Times New Roman" w:cs="Times New Roman" w:eastAsia="Times New Roman" w:hAnsi="Times New Roman"/>
          <w:sz w:val="22"/>
          <w:szCs w:val="22"/>
          <w:color w:val="auto"/>
        </w:rPr>
      </w:pPr>
    </w:p>
    <w:p>
      <w:pPr>
        <w:ind w:left="2420" w:hanging="467"/>
        <w:spacing w:after="0"/>
        <w:tabs>
          <w:tab w:leader="none" w:pos="2420" w:val="left"/>
        </w:tabs>
        <w:numPr>
          <w:ilvl w:val="2"/>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engages in conduct that, in Veracyte’s good faith determination, jeopardizes or damages the reputation</w:t>
      </w:r>
    </w:p>
    <w:p>
      <w:pPr>
        <w:spacing w:after="0" w:line="42"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Veracyte;</w:t>
      </w:r>
    </w:p>
    <w:p>
      <w:pPr>
        <w:spacing w:after="0" w:line="246" w:lineRule="exact"/>
        <w:rPr>
          <w:rFonts w:ascii="Times New Roman" w:cs="Times New Roman" w:eastAsia="Times New Roman" w:hAnsi="Times New Roman"/>
          <w:sz w:val="21"/>
          <w:szCs w:val="21"/>
          <w:color w:val="auto"/>
        </w:rPr>
      </w:pPr>
    </w:p>
    <w:p>
      <w:pPr>
        <w:ind w:left="2440" w:hanging="487"/>
        <w:spacing w:after="0"/>
        <w:tabs>
          <w:tab w:leader="none" w:pos="2440"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fails to satisfy any of the standards and qualifications set forth in this Agreement;</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left="660" w:firstLine="1293"/>
        <w:spacing w:after="0" w:line="309" w:lineRule="auto"/>
        <w:tabs>
          <w:tab w:leader="none" w:pos="2347"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fails to comply with any other material terms or conditions of this Agreement after being given written notice of that failure and a reasonable opportunity to comply;</w:t>
      </w:r>
    </w:p>
    <w:p>
      <w:pPr>
        <w:spacing w:after="0" w:line="158" w:lineRule="exact"/>
        <w:rPr>
          <w:rFonts w:ascii="Times New Roman" w:cs="Times New Roman" w:eastAsia="Times New Roman" w:hAnsi="Times New Roman"/>
          <w:sz w:val="22"/>
          <w:szCs w:val="22"/>
          <w:color w:val="auto"/>
        </w:rPr>
      </w:pPr>
    </w:p>
    <w:p>
      <w:pPr>
        <w:ind w:left="2320" w:hanging="367"/>
        <w:spacing w:after="0"/>
        <w:tabs>
          <w:tab w:leader="none" w:pos="2320"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a twelve (12) month period, has two (2) or more medical malpractice claims filed against him or</w:t>
      </w:r>
    </w:p>
    <w:p>
      <w:pPr>
        <w:spacing w:after="0" w:line="44"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 or</w:t>
      </w:r>
    </w:p>
    <w:p>
      <w:pPr>
        <w:spacing w:after="0" w:line="260" w:lineRule="exact"/>
        <w:rPr>
          <w:rFonts w:ascii="Times New Roman" w:cs="Times New Roman" w:eastAsia="Times New Roman" w:hAnsi="Times New Roman"/>
          <w:sz w:val="22"/>
          <w:szCs w:val="22"/>
          <w:color w:val="auto"/>
        </w:rPr>
      </w:pPr>
    </w:p>
    <w:p>
      <w:pPr>
        <w:ind w:left="660" w:right="20" w:firstLine="1293"/>
        <w:spacing w:after="0" w:line="297" w:lineRule="auto"/>
        <w:tabs>
          <w:tab w:leader="none" w:pos="2425"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charged with or convicted of a felony, a misdemeanor involving fraud, dishonesty, or moral turpitude, or any crime relevant to the practice of medicine.</w:t>
      </w:r>
    </w:p>
    <w:p>
      <w:pPr>
        <w:spacing w:after="0" w:line="153" w:lineRule="exact"/>
        <w:rPr>
          <w:rFonts w:ascii="Times New Roman" w:cs="Times New Roman" w:eastAsia="Times New Roman" w:hAnsi="Times New Roman"/>
          <w:sz w:val="22"/>
          <w:szCs w:val="22"/>
          <w:color w:val="auto"/>
        </w:rPr>
      </w:pPr>
    </w:p>
    <w:p>
      <w:pPr>
        <w:ind w:left="1800" w:hanging="374"/>
        <w:spacing w:after="0"/>
        <w:tabs>
          <w:tab w:leader="none" w:pos="1800" w:val="left"/>
        </w:tabs>
        <w:numPr>
          <w:ilvl w:val="1"/>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Duties and Responsibilities of Veracyte</w:t>
      </w:r>
      <w:r>
        <w:rPr>
          <w:rFonts w:ascii="Times New Roman" w:cs="Times New Roman" w:eastAsia="Times New Roman" w:hAnsi="Times New Roman"/>
          <w:sz w:val="22"/>
          <w:szCs w:val="22"/>
          <w:color w:val="auto"/>
        </w:rPr>
        <w:t>.</w:t>
      </w:r>
    </w:p>
    <w:p>
      <w:pPr>
        <w:spacing w:after="0" w:line="264"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u w:val="single" w:color="auto"/>
          <w:color w:val="auto"/>
        </w:rPr>
        <w:t>Laboratory</w:t>
      </w:r>
      <w:r>
        <w:rPr>
          <w:rFonts w:ascii="Times New Roman" w:cs="Times New Roman" w:eastAsia="Times New Roman" w:hAnsi="Times New Roman"/>
          <w:sz w:val="22"/>
          <w:szCs w:val="22"/>
          <w:color w:val="auto"/>
        </w:rPr>
        <w:t>. Veracyte shall be responsible for its cytology and molecular lab, its functions, quality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licensure.</w:t>
      </w:r>
    </w:p>
    <w:p>
      <w:pPr>
        <w:spacing w:after="0" w:line="247" w:lineRule="exact"/>
        <w:rPr>
          <w:sz w:val="20"/>
          <w:szCs w:val="20"/>
          <w:color w:val="auto"/>
        </w:rPr>
      </w:pPr>
    </w:p>
    <w:p>
      <w:pPr>
        <w:ind w:left="3440" w:hanging="462"/>
        <w:spacing w:after="0"/>
        <w:tabs>
          <w:tab w:leader="none" w:pos="3440"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Slide Storage</w:t>
      </w:r>
      <w:r>
        <w:rPr>
          <w:rFonts w:ascii="Times New Roman" w:cs="Times New Roman" w:eastAsia="Times New Roman" w:hAnsi="Times New Roman"/>
          <w:sz w:val="22"/>
          <w:szCs w:val="22"/>
          <w:color w:val="auto"/>
        </w:rPr>
        <w:t>. Veracyte shall maintain and store all slides.</w:t>
      </w:r>
    </w:p>
    <w:p>
      <w:pPr>
        <w:spacing w:after="0" w:line="246" w:lineRule="exact"/>
        <w:rPr>
          <w:rFonts w:ascii="Times New Roman" w:cs="Times New Roman" w:eastAsia="Times New Roman" w:hAnsi="Times New Roman"/>
          <w:sz w:val="22"/>
          <w:szCs w:val="22"/>
          <w:color w:val="auto"/>
        </w:rPr>
      </w:pPr>
    </w:p>
    <w:p>
      <w:pPr>
        <w:ind w:right="20" w:firstLine="1305"/>
        <w:spacing w:after="0" w:line="297" w:lineRule="auto"/>
        <w:tabs>
          <w:tab w:leader="none" w:pos="1833"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Shipping</w:t>
      </w:r>
      <w:r>
        <w:rPr>
          <w:rFonts w:ascii="Times New Roman" w:cs="Times New Roman" w:eastAsia="Times New Roman" w:hAnsi="Times New Roman"/>
          <w:sz w:val="22"/>
          <w:szCs w:val="22"/>
          <w:color w:val="auto"/>
        </w:rPr>
        <w:t>. Veracyte shall ship specimens to Pathologists and pay for cost of return shipping to Veracyte for storage and reporting.</w:t>
      </w:r>
    </w:p>
    <w:p>
      <w:pPr>
        <w:spacing w:after="0" w:line="157" w:lineRule="exact"/>
        <w:rPr>
          <w:rFonts w:ascii="Times New Roman" w:cs="Times New Roman" w:eastAsia="Times New Roman" w:hAnsi="Times New Roman"/>
          <w:sz w:val="22"/>
          <w:szCs w:val="22"/>
          <w:color w:val="auto"/>
        </w:rPr>
      </w:pPr>
    </w:p>
    <w:p>
      <w:pPr>
        <w:ind w:firstLine="1305"/>
        <w:spacing w:after="0" w:line="309" w:lineRule="auto"/>
        <w:tabs>
          <w:tab w:leader="none" w:pos="192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Clinical Information</w:t>
      </w:r>
      <w:r>
        <w:rPr>
          <w:rFonts w:ascii="Times New Roman" w:cs="Times New Roman" w:eastAsia="Times New Roman" w:hAnsi="Times New Roman"/>
          <w:sz w:val="22"/>
          <w:szCs w:val="22"/>
          <w:color w:val="auto"/>
        </w:rPr>
        <w:t>. Veracyte shall provide all clinical information accompanying any specimens and a manifest of shipment contents.</w:t>
      </w:r>
    </w:p>
    <w:p>
      <w:pPr>
        <w:spacing w:after="0" w:line="158" w:lineRule="exact"/>
        <w:rPr>
          <w:rFonts w:ascii="Times New Roman" w:cs="Times New Roman" w:eastAsia="Times New Roman" w:hAnsi="Times New Roman"/>
          <w:sz w:val="22"/>
          <w:szCs w:val="22"/>
          <w:color w:val="auto"/>
        </w:rPr>
      </w:pPr>
    </w:p>
    <w:p>
      <w:pPr>
        <w:ind w:right="20" w:firstLine="1305"/>
        <w:spacing w:after="0" w:line="297" w:lineRule="auto"/>
        <w:tabs>
          <w:tab w:leader="none" w:pos="18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Software</w:t>
      </w:r>
      <w:r>
        <w:rPr>
          <w:rFonts w:ascii="Times New Roman" w:cs="Times New Roman" w:eastAsia="Times New Roman" w:hAnsi="Times New Roman"/>
          <w:sz w:val="22"/>
          <w:szCs w:val="22"/>
          <w:color w:val="auto"/>
        </w:rPr>
        <w:t>. Veracyte shall be responsible for dictation and reporting software. Veracyte shall also provide any billing or networking or other software needed.</w:t>
      </w:r>
    </w:p>
    <w:p>
      <w:pPr>
        <w:spacing w:after="0" w:line="157" w:lineRule="exact"/>
        <w:rPr>
          <w:rFonts w:ascii="Times New Roman" w:cs="Times New Roman" w:eastAsia="Times New Roman" w:hAnsi="Times New Roman"/>
          <w:sz w:val="22"/>
          <w:szCs w:val="22"/>
          <w:color w:val="auto"/>
        </w:rPr>
      </w:pPr>
    </w:p>
    <w:p>
      <w:pPr>
        <w:ind w:firstLine="1305"/>
        <w:spacing w:after="0" w:line="309" w:lineRule="auto"/>
        <w:tabs>
          <w:tab w:leader="none" w:pos="172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Managed Care Contracting</w:t>
      </w:r>
      <w:r>
        <w:rPr>
          <w:rFonts w:ascii="Times New Roman" w:cs="Times New Roman" w:eastAsia="Times New Roman" w:hAnsi="Times New Roman"/>
          <w:sz w:val="22"/>
          <w:szCs w:val="22"/>
          <w:color w:val="auto"/>
        </w:rPr>
        <w:t>. Except as otherwise provided in Section 9, below, Veracyte shall be responsible for all managed care contracting.</w:t>
      </w:r>
    </w:p>
    <w:p>
      <w:pPr>
        <w:spacing w:after="0" w:line="158" w:lineRule="exact"/>
        <w:rPr>
          <w:rFonts w:ascii="Times New Roman" w:cs="Times New Roman" w:eastAsia="Times New Roman" w:hAnsi="Times New Roman"/>
          <w:sz w:val="22"/>
          <w:szCs w:val="22"/>
          <w:color w:val="auto"/>
        </w:rPr>
      </w:pPr>
    </w:p>
    <w:p>
      <w:pPr>
        <w:ind w:left="1780" w:hanging="475"/>
        <w:spacing w:after="0"/>
        <w:tabs>
          <w:tab w:leader="none" w:pos="17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Veracyte shall pay Pathologists in a timely manner as provided in the Agreement.</w:t>
      </w:r>
    </w:p>
    <w:p>
      <w:pPr>
        <w:spacing w:after="0" w:line="256" w:lineRule="exact"/>
        <w:rPr>
          <w:rFonts w:ascii="Times New Roman" w:cs="Times New Roman" w:eastAsia="Times New Roman" w:hAnsi="Times New Roman"/>
          <w:sz w:val="22"/>
          <w:szCs w:val="22"/>
          <w:color w:val="auto"/>
        </w:rPr>
      </w:pPr>
    </w:p>
    <w:p>
      <w:pPr>
        <w:ind w:left="1800" w:hanging="374"/>
        <w:spacing w:after="0"/>
        <w:tabs>
          <w:tab w:leader="none" w:pos="1800" w:val="left"/>
        </w:tabs>
        <w:numPr>
          <w:ilvl w:val="1"/>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Practice of Medicine</w:t>
      </w:r>
      <w:r>
        <w:rPr>
          <w:rFonts w:ascii="Times New Roman" w:cs="Times New Roman" w:eastAsia="Times New Roman" w:hAnsi="Times New Roman"/>
          <w:sz w:val="22"/>
          <w:szCs w:val="22"/>
          <w:color w:val="auto"/>
        </w:rPr>
        <w:t>. Pathologists and Veracyte acknowledge that Veracyte is</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420"/>
          </w:cols>
          <w:pgMar w:left="240" w:top="598" w:right="239" w:bottom="1440" w:gutter="0" w:footer="0" w:header="0"/>
        </w:sectPr>
      </w:pPr>
    </w:p>
    <w:bookmarkStart w:id="60" w:name="page61"/>
    <w:bookmarkEnd w:id="60"/>
    <w:p>
      <w:pPr>
        <w:jc w:val="both"/>
        <w:spacing w:after="0" w:line="287" w:lineRule="auto"/>
        <w:rPr>
          <w:sz w:val="20"/>
          <w:szCs w:val="20"/>
          <w:color w:val="auto"/>
        </w:rPr>
      </w:pPr>
      <w:r>
        <w:rPr>
          <w:rFonts w:ascii="Times New Roman" w:cs="Times New Roman" w:eastAsia="Times New Roman" w:hAnsi="Times New Roman"/>
          <w:sz w:val="22"/>
          <w:szCs w:val="22"/>
          <w:color w:val="auto"/>
        </w:rPr>
        <w:t>neither authorized nor qualified to engage in any activity which may be construed or deemed to constitute the practice of medicine. Accordingly, Veracyte shall not engage in the practice of medicine nor seek to provide the Services to be provided by Pathologists under this Agreement through its own physician employees or contractors. To the extent that any act or service required of, or reserved to, Veracyte in this Agreement is construed or deemed to constitute the practice of medicine, the performance of such act or service by Veracyte shall be deemed waived or unenforceable, unless this Agreement can be amended to comply with the law, in which case the Parties shall make such amendment.</w:t>
      </w:r>
    </w:p>
    <w:p>
      <w:pPr>
        <w:spacing w:after="0" w:line="180" w:lineRule="exact"/>
        <w:rPr>
          <w:sz w:val="20"/>
          <w:szCs w:val="20"/>
          <w:color w:val="auto"/>
        </w:rPr>
      </w:pPr>
    </w:p>
    <w:p>
      <w:pPr>
        <w:ind w:left="1800" w:hanging="374"/>
        <w:spacing w:after="0"/>
        <w:tabs>
          <w:tab w:leader="none" w:pos="1800"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w:t>
      </w:r>
      <w:r>
        <w:rPr>
          <w:rFonts w:ascii="Times New Roman" w:cs="Times New Roman" w:eastAsia="Times New Roman" w:hAnsi="Times New Roman"/>
          <w:sz w:val="22"/>
          <w:szCs w:val="22"/>
          <w:color w:val="auto"/>
        </w:rPr>
        <w:t>. This Agreement shall become effective on the Effective Date, and shall</w:t>
      </w:r>
    </w:p>
    <w:p>
      <w:pPr>
        <w:spacing w:after="0" w:line="3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2"/>
          <w:szCs w:val="22"/>
          <w:color w:val="auto"/>
        </w:rPr>
        <w:t>continue until October 31, 2022 (the “Expiration Date”), unless terminated earlier as provided herein. The Agreement shall automatically renew for successive one (1) year terms unless either Party gives written notice of its intention not to renew this Agreement at least twelve (12) months prior to the end of the then current term.</w:t>
      </w:r>
    </w:p>
    <w:p>
      <w:pPr>
        <w:spacing w:after="0" w:line="252" w:lineRule="exact"/>
        <w:rPr>
          <w:sz w:val="20"/>
          <w:szCs w:val="20"/>
          <w:color w:val="auto"/>
        </w:rPr>
      </w:pPr>
    </w:p>
    <w:p>
      <w:pPr>
        <w:ind w:left="1800" w:hanging="374"/>
        <w:spacing w:after="0"/>
        <w:tabs>
          <w:tab w:leader="none" w:pos="1800" w:val="left"/>
        </w:tabs>
        <w:numPr>
          <w:ilvl w:val="1"/>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w:t>
      </w:r>
      <w:r>
        <w:rPr>
          <w:rFonts w:ascii="Times New Roman" w:cs="Times New Roman" w:eastAsia="Times New Roman" w:hAnsi="Times New Roman"/>
          <w:sz w:val="22"/>
          <w:szCs w:val="22"/>
          <w:color w:val="auto"/>
        </w:rPr>
        <w:t>.</w:t>
      </w:r>
    </w:p>
    <w:p>
      <w:pPr>
        <w:spacing w:after="0" w:line="264" w:lineRule="exact"/>
        <w:rPr>
          <w:rFonts w:ascii="Times New Roman" w:cs="Times New Roman" w:eastAsia="Times New Roman" w:hAnsi="Times New Roman"/>
          <w:sz w:val="22"/>
          <w:szCs w:val="22"/>
          <w:b w:val="1"/>
          <w:bCs w:val="1"/>
          <w:color w:val="auto"/>
        </w:rPr>
      </w:pPr>
    </w:p>
    <w:p>
      <w:pPr>
        <w:ind w:firstLine="1305"/>
        <w:spacing w:after="0" w:line="309" w:lineRule="auto"/>
        <w:tabs>
          <w:tab w:leader="none" w:pos="180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Pathologists</w:t>
      </w:r>
      <w:r>
        <w:rPr>
          <w:rFonts w:ascii="Times New Roman" w:cs="Times New Roman" w:eastAsia="Times New Roman" w:hAnsi="Times New Roman"/>
          <w:sz w:val="22"/>
          <w:szCs w:val="22"/>
          <w:color w:val="auto"/>
        </w:rPr>
        <w:t>. Pathologists shall have the right to terminate this Agreement immediately upon the occurrence of the following:</w:t>
      </w:r>
    </w:p>
    <w:p>
      <w:pPr>
        <w:spacing w:after="0" w:line="158" w:lineRule="exact"/>
        <w:rPr>
          <w:rFonts w:ascii="Times New Roman" w:cs="Times New Roman" w:eastAsia="Times New Roman" w:hAnsi="Times New Roman"/>
          <w:sz w:val="22"/>
          <w:szCs w:val="22"/>
          <w:color w:val="auto"/>
        </w:rPr>
      </w:pPr>
    </w:p>
    <w:p>
      <w:pPr>
        <w:ind w:left="2360" w:hanging="407"/>
        <w:spacing w:after="0"/>
        <w:tabs>
          <w:tab w:leader="none" w:pos="2360"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insolvency of Veracyte;</w:t>
      </w:r>
    </w:p>
    <w:p>
      <w:pPr>
        <w:spacing w:after="0" w:line="246" w:lineRule="exact"/>
        <w:rPr>
          <w:rFonts w:ascii="Times New Roman" w:cs="Times New Roman" w:eastAsia="Times New Roman" w:hAnsi="Times New Roman"/>
          <w:sz w:val="22"/>
          <w:szCs w:val="22"/>
          <w:color w:val="auto"/>
        </w:rPr>
      </w:pPr>
    </w:p>
    <w:p>
      <w:pPr>
        <w:ind w:left="2420" w:hanging="467"/>
        <w:spacing w:after="0"/>
        <w:tabs>
          <w:tab w:leader="none" w:pos="2420"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suspension, revocation, termination or other restriction on Veracyte’s laboratory license;</w:t>
      </w:r>
    </w:p>
    <w:p>
      <w:pPr>
        <w:spacing w:after="0" w:line="246" w:lineRule="exact"/>
        <w:rPr>
          <w:rFonts w:ascii="Times New Roman" w:cs="Times New Roman" w:eastAsia="Times New Roman" w:hAnsi="Times New Roman"/>
          <w:sz w:val="22"/>
          <w:szCs w:val="22"/>
          <w:color w:val="auto"/>
        </w:rPr>
      </w:pPr>
    </w:p>
    <w:p>
      <w:pPr>
        <w:ind w:left="660" w:right="20" w:firstLine="1293"/>
        <w:spacing w:after="0" w:line="309" w:lineRule="auto"/>
        <w:tabs>
          <w:tab w:leader="none" w:pos="2337"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of Veracyte to pay any undisputed amounts due hereunder within sixty (60) days after the receipt of written notice; or</w:t>
      </w:r>
    </w:p>
    <w:p>
      <w:pPr>
        <w:spacing w:after="0" w:line="158" w:lineRule="exact"/>
        <w:rPr>
          <w:rFonts w:ascii="Times New Roman" w:cs="Times New Roman" w:eastAsia="Times New Roman" w:hAnsi="Times New Roman"/>
          <w:sz w:val="22"/>
          <w:szCs w:val="22"/>
          <w:color w:val="auto"/>
        </w:rPr>
      </w:pPr>
    </w:p>
    <w:p>
      <w:pPr>
        <w:ind w:left="660" w:right="20" w:firstLine="1293"/>
        <w:spacing w:after="0" w:line="297" w:lineRule="auto"/>
        <w:tabs>
          <w:tab w:leader="none" w:pos="2330"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Breach of the Agreement by Veracyte and its failure to cure such breach within sixty (60) days after the delivery of written notice thereof.</w:t>
      </w:r>
    </w:p>
    <w:p>
      <w:pPr>
        <w:spacing w:after="0" w:line="157" w:lineRule="exact"/>
        <w:rPr>
          <w:rFonts w:ascii="Times New Roman" w:cs="Times New Roman" w:eastAsia="Times New Roman" w:hAnsi="Times New Roman"/>
          <w:sz w:val="22"/>
          <w:szCs w:val="22"/>
          <w:color w:val="auto"/>
        </w:rPr>
      </w:pPr>
    </w:p>
    <w:p>
      <w:pPr>
        <w:ind w:firstLine="1305"/>
        <w:spacing w:after="0" w:line="297" w:lineRule="auto"/>
        <w:tabs>
          <w:tab w:leader="none" w:pos="1873"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Veracyte</w:t>
      </w:r>
      <w:r>
        <w:rPr>
          <w:rFonts w:ascii="Times New Roman" w:cs="Times New Roman" w:eastAsia="Times New Roman" w:hAnsi="Times New Roman"/>
          <w:sz w:val="22"/>
          <w:szCs w:val="22"/>
          <w:color w:val="auto"/>
        </w:rPr>
        <w:t>. Veracyte shall have the right to terminate this Agreement immediately upon the occurrence of any of the following:</w:t>
      </w:r>
    </w:p>
    <w:p>
      <w:pPr>
        <w:spacing w:after="0" w:line="157" w:lineRule="exact"/>
        <w:rPr>
          <w:rFonts w:ascii="Times New Roman" w:cs="Times New Roman" w:eastAsia="Times New Roman" w:hAnsi="Times New Roman"/>
          <w:sz w:val="22"/>
          <w:szCs w:val="22"/>
          <w:color w:val="auto"/>
        </w:rPr>
      </w:pPr>
    </w:p>
    <w:p>
      <w:pPr>
        <w:ind w:left="2360" w:hanging="407"/>
        <w:spacing w:after="0"/>
        <w:tabs>
          <w:tab w:leader="none" w:pos="2360"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insolvency of Pathologists;</w:t>
      </w:r>
    </w:p>
    <w:p>
      <w:pPr>
        <w:spacing w:after="0" w:line="246" w:lineRule="exact"/>
        <w:rPr>
          <w:rFonts w:ascii="Times New Roman" w:cs="Times New Roman" w:eastAsia="Times New Roman" w:hAnsi="Times New Roman"/>
          <w:sz w:val="22"/>
          <w:szCs w:val="22"/>
          <w:color w:val="auto"/>
        </w:rPr>
      </w:pPr>
    </w:p>
    <w:p>
      <w:pPr>
        <w:ind w:left="2420" w:hanging="467"/>
        <w:spacing w:after="0"/>
        <w:tabs>
          <w:tab w:leader="none" w:pos="2420"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suspension or termination of Pathologists from any Federal Health Care Program;</w:t>
      </w:r>
    </w:p>
    <w:p>
      <w:pPr>
        <w:spacing w:after="0" w:line="260" w:lineRule="exact"/>
        <w:rPr>
          <w:rFonts w:ascii="Times New Roman" w:cs="Times New Roman" w:eastAsia="Times New Roman" w:hAnsi="Times New Roman"/>
          <w:sz w:val="22"/>
          <w:szCs w:val="22"/>
          <w:color w:val="auto"/>
        </w:rPr>
      </w:pPr>
    </w:p>
    <w:p>
      <w:pPr>
        <w:ind w:left="660" w:right="20" w:firstLine="1293"/>
        <w:spacing w:after="0" w:line="297" w:lineRule="auto"/>
        <w:tabs>
          <w:tab w:leader="none" w:pos="2347"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Breach of the agreement by Pathologists and its failure to cure such breach within sixty (60) days after the delivery of written notice thereof; or</w:t>
      </w:r>
    </w:p>
    <w:p>
      <w:pPr>
        <w:spacing w:after="0" w:line="157" w:lineRule="exact"/>
        <w:rPr>
          <w:rFonts w:ascii="Times New Roman" w:cs="Times New Roman" w:eastAsia="Times New Roman" w:hAnsi="Times New Roman"/>
          <w:sz w:val="22"/>
          <w:szCs w:val="22"/>
          <w:color w:val="auto"/>
        </w:rPr>
      </w:pPr>
    </w:p>
    <w:p>
      <w:pPr>
        <w:jc w:val="both"/>
        <w:ind w:left="660" w:right="20" w:firstLine="1293"/>
        <w:spacing w:after="0" w:line="295" w:lineRule="auto"/>
        <w:tabs>
          <w:tab w:leader="none" w:pos="2560"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a “Substantial Change” in Pathologists, which Substantial Change has not received written approval, or subsequent ratification by Veracyte, whose approval or ratification shall not be unreasonably withheld. For purposes of this section,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420"/>
          </w:cols>
          <w:pgMar w:left="240" w:top="382" w:right="239" w:bottom="1440" w:gutter="0" w:footer="0" w:header="0"/>
        </w:sectPr>
      </w:pPr>
    </w:p>
    <w:bookmarkStart w:id="61" w:name="page62"/>
    <w:bookmarkEnd w:id="61"/>
    <w:p>
      <w:pPr>
        <w:ind w:left="660"/>
        <w:spacing w:after="0" w:line="309" w:lineRule="auto"/>
        <w:rPr>
          <w:sz w:val="20"/>
          <w:szCs w:val="20"/>
          <w:color w:val="auto"/>
        </w:rPr>
      </w:pPr>
      <w:r>
        <w:rPr>
          <w:rFonts w:ascii="Times New Roman" w:cs="Times New Roman" w:eastAsia="Times New Roman" w:hAnsi="Times New Roman"/>
          <w:sz w:val="22"/>
          <w:szCs w:val="22"/>
          <w:color w:val="auto"/>
        </w:rPr>
        <w:t>“Substantial Change” means the turnover ratio for Approved Physicians exceeds thirty percent (30%) in any two-year period, whether due to retirement, withdrawal, termination, suspension or otherwise.</w:t>
      </w:r>
    </w:p>
    <w:p>
      <w:pPr>
        <w:spacing w:after="0" w:line="155" w:lineRule="exact"/>
        <w:rPr>
          <w:sz w:val="20"/>
          <w:szCs w:val="20"/>
          <w:color w:val="auto"/>
        </w:rPr>
      </w:pPr>
    </w:p>
    <w:p>
      <w:pPr>
        <w:ind w:left="1800" w:hanging="374"/>
        <w:spacing w:after="0"/>
        <w:tabs>
          <w:tab w:leader="none" w:pos="1800" w:val="left"/>
        </w:tabs>
        <w:numPr>
          <w:ilvl w:val="1"/>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 Billing and Collection</w:t>
      </w:r>
      <w:r>
        <w:rPr>
          <w:rFonts w:ascii="Times New Roman" w:cs="Times New Roman" w:eastAsia="Times New Roman" w:hAnsi="Times New Roman"/>
          <w:sz w:val="22"/>
          <w:szCs w:val="22"/>
          <w:color w:val="auto"/>
        </w:rPr>
        <w:t>.</w:t>
      </w:r>
    </w:p>
    <w:p>
      <w:pPr>
        <w:spacing w:after="0" w:line="264" w:lineRule="exact"/>
        <w:rPr>
          <w:rFonts w:ascii="Times New Roman" w:cs="Times New Roman" w:eastAsia="Times New Roman" w:hAnsi="Times New Roman"/>
          <w:sz w:val="22"/>
          <w:szCs w:val="22"/>
          <w:b w:val="1"/>
          <w:bCs w:val="1"/>
          <w:color w:val="auto"/>
        </w:rPr>
      </w:pPr>
    </w:p>
    <w:p>
      <w:pPr>
        <w:ind w:left="1760" w:hanging="455"/>
        <w:spacing w:after="0"/>
        <w:tabs>
          <w:tab w:leader="none" w:pos="17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to Bill</w:t>
      </w:r>
      <w:r>
        <w:rPr>
          <w:rFonts w:ascii="Times New Roman" w:cs="Times New Roman" w:eastAsia="Times New Roman" w:hAnsi="Times New Roman"/>
          <w:sz w:val="22"/>
          <w:szCs w:val="22"/>
          <w:color w:val="auto"/>
        </w:rPr>
        <w:t>. Except as otherwise provided in Section 9 below:</w:t>
      </w:r>
    </w:p>
    <w:p>
      <w:pPr>
        <w:spacing w:after="0" w:line="246" w:lineRule="exact"/>
        <w:rPr>
          <w:rFonts w:ascii="Times New Roman" w:cs="Times New Roman" w:eastAsia="Times New Roman" w:hAnsi="Times New Roman"/>
          <w:sz w:val="22"/>
          <w:szCs w:val="22"/>
          <w:color w:val="auto"/>
        </w:rPr>
      </w:pPr>
    </w:p>
    <w:p>
      <w:pPr>
        <w:jc w:val="both"/>
        <w:ind w:left="660" w:firstLine="1293"/>
        <w:spacing w:after="0" w:line="295" w:lineRule="auto"/>
        <w:tabs>
          <w:tab w:leader="none" w:pos="2412"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Veracyte shall have the sole and exclusive right to bill and collect for any and all Services rendered by Pathologists pursuant to this Agreement and shall have the sole and exclusive right, title and interest in and to accounts receivable with respect to such pathology services.</w:t>
      </w:r>
    </w:p>
    <w:p>
      <w:pPr>
        <w:spacing w:after="0" w:line="174" w:lineRule="exact"/>
        <w:rPr>
          <w:rFonts w:ascii="Times New Roman" w:cs="Times New Roman" w:eastAsia="Times New Roman" w:hAnsi="Times New Roman"/>
          <w:sz w:val="22"/>
          <w:szCs w:val="22"/>
          <w:color w:val="auto"/>
        </w:rPr>
      </w:pPr>
    </w:p>
    <w:p>
      <w:pPr>
        <w:jc w:val="both"/>
        <w:ind w:left="660" w:firstLine="1293"/>
        <w:spacing w:after="0" w:line="281" w:lineRule="auto"/>
        <w:tabs>
          <w:tab w:leader="none" w:pos="2621"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Pathologists shall seek and obtain compensation for the performance of the Services only from Veracyte. Pathologists shall not bill, assess or charge any fee, assessment or charge of any type against any patient or any other person or entity for Services rendered by Pathologists pursuant to this Agreement. Pathologists shall promptly deliver to Veracyte any and all compensation, in whatever form, that is received by Pathologists for Services rendered by Pathologists pursuant to this Agreement.</w:t>
      </w:r>
    </w:p>
    <w:p>
      <w:pPr>
        <w:spacing w:after="0" w:line="4" w:lineRule="exact"/>
        <w:rPr>
          <w:rFonts w:ascii="Times New Roman" w:cs="Times New Roman" w:eastAsia="Times New Roman" w:hAnsi="Times New Roman"/>
          <w:sz w:val="22"/>
          <w:szCs w:val="22"/>
          <w:color w:val="auto"/>
        </w:rPr>
      </w:pPr>
    </w:p>
    <w:p>
      <w:pPr>
        <w:jc w:val="both"/>
        <w:ind w:firstLine="1305"/>
        <w:spacing w:after="0" w:line="291" w:lineRule="auto"/>
        <w:tabs>
          <w:tab w:leader="none" w:pos="184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Pathologists’ Fee</w:t>
      </w:r>
      <w:r>
        <w:rPr>
          <w:rFonts w:ascii="Times New Roman" w:cs="Times New Roman" w:eastAsia="Times New Roman" w:hAnsi="Times New Roman"/>
          <w:sz w:val="22"/>
          <w:szCs w:val="22"/>
          <w:color w:val="auto"/>
        </w:rPr>
        <w:t xml:space="preserve">. Veracyte shall pay Pathologists for each specimen according to the fee schedule attached hereto as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Pathologists shall be paid within sixty (60) days after the end of the calendar month in which Pathologists complete the Services. Veracyte may bill patients and/or their third party payors, and payment to Pathologists is not contingent upon Veracyte’s receipt of payment.</w:t>
      </w:r>
    </w:p>
    <w:p>
      <w:pPr>
        <w:spacing w:after="0" w:line="177" w:lineRule="exact"/>
        <w:rPr>
          <w:rFonts w:ascii="Times New Roman" w:cs="Times New Roman" w:eastAsia="Times New Roman" w:hAnsi="Times New Roman"/>
          <w:sz w:val="22"/>
          <w:szCs w:val="22"/>
          <w:color w:val="auto"/>
        </w:rPr>
      </w:pPr>
    </w:p>
    <w:p>
      <w:pPr>
        <w:jc w:val="both"/>
        <w:ind w:firstLine="1305"/>
        <w:spacing w:after="0" w:line="288" w:lineRule="auto"/>
        <w:tabs>
          <w:tab w:leader="none" w:pos="180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of Claims</w:t>
      </w:r>
      <w:r>
        <w:rPr>
          <w:rFonts w:ascii="Times New Roman" w:cs="Times New Roman" w:eastAsia="Times New Roman" w:hAnsi="Times New Roman"/>
          <w:sz w:val="22"/>
          <w:szCs w:val="22"/>
          <w:color w:val="auto"/>
        </w:rPr>
        <w:t>. Pathologists hereby assigns (or reassigns, as the case may be) to Veracyte all claims, demands and rights of Pathologists for payment for any and all Services rendered by Pathologists pursuant to this Agreement. Pathologists shall take such action and execute such documents as may be reasonably necessary or appropriate to effectuate the assignment (or reassignment, as the case may be) to Veracyte of all claims, demands and rights of Pathologists for payment for any and all Services rendered by Pathologists pursuant to this Agreement.</w:t>
      </w:r>
    </w:p>
    <w:p>
      <w:pPr>
        <w:spacing w:after="0" w:line="183" w:lineRule="exact"/>
        <w:rPr>
          <w:rFonts w:ascii="Times New Roman" w:cs="Times New Roman" w:eastAsia="Times New Roman" w:hAnsi="Times New Roman"/>
          <w:sz w:val="22"/>
          <w:szCs w:val="22"/>
          <w:color w:val="auto"/>
        </w:rPr>
      </w:pPr>
    </w:p>
    <w:p>
      <w:pPr>
        <w:ind w:left="1780" w:hanging="475"/>
        <w:spacing w:after="0"/>
        <w:tabs>
          <w:tab w:leader="none" w:pos="17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 Reimbursements</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jc w:val="both"/>
        <w:ind w:firstLine="1953"/>
        <w:spacing w:after="0" w:line="286" w:lineRule="auto"/>
        <w:tabs>
          <w:tab w:leader="none" w:pos="2442"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Veracyte shall reimburse Pathologists for all reasonable and necessary business expenses incurred by Pathologists in connection with the performance of the Services, including shipping, postage, transcription fees, external consults performed at Veracyte’s request, etc.;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(l) Pathologists have obtained prior written approval of Veracyte to incur expenses greater than Five Hundred Dollars ($500), (2) the expenses are directly related to the performance of the Services under this Agreement, (3) the expenses meet the requirements for reimbursement under Veracyte policies, and (4) Pathologists submit receipts to Veracyte within sixty (60) days of incurring the expenses. Receipts submitted to Veracyte after sixty (60) days may or may not be paid at the sole discretion of Veracyte.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420"/>
          </w:cols>
          <w:pgMar w:left="240" w:top="598" w:right="239" w:bottom="1440" w:gutter="0" w:footer="0" w:header="0"/>
        </w:sectPr>
      </w:pPr>
    </w:p>
    <w:bookmarkStart w:id="62" w:name="page63"/>
    <w:bookmarkEnd w:id="62"/>
    <w:p>
      <w:pPr>
        <w:jc w:val="both"/>
        <w:ind w:firstLine="1953"/>
        <w:spacing w:after="0" w:line="295" w:lineRule="auto"/>
        <w:tabs>
          <w:tab w:leader="none" w:pos="2475"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Veracyte shall reimburse Pathologists for reasonable and necessary expenses incurred by Pathologists in connection with all sales and marketing activities to promote or represent Veracyte; provided that such sales and marketing activities and expenses are approved in advance by Veracyte.</w:t>
      </w:r>
    </w:p>
    <w:p>
      <w:pPr>
        <w:spacing w:after="0" w:line="174" w:lineRule="exact"/>
        <w:rPr>
          <w:rFonts w:ascii="Times New Roman" w:cs="Times New Roman" w:eastAsia="Times New Roman" w:hAnsi="Times New Roman"/>
          <w:sz w:val="22"/>
          <w:szCs w:val="22"/>
          <w:color w:val="auto"/>
        </w:rPr>
      </w:pPr>
    </w:p>
    <w:p>
      <w:pPr>
        <w:jc w:val="both"/>
        <w:ind w:firstLine="1953"/>
        <w:spacing w:after="0" w:line="295" w:lineRule="auto"/>
        <w:tabs>
          <w:tab w:leader="none" w:pos="2529"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Pathologists shall assume all financial responsibility for the costs incurred for licensing all Approved Physicians, including, without limitation, any patient compensation fund contribution requirements required by any applicable state law.</w:t>
      </w:r>
    </w:p>
    <w:p>
      <w:pPr>
        <w:spacing w:after="0" w:line="170"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Third Party Payor Arrangements</w:t>
      </w:r>
      <w:r>
        <w:rPr>
          <w:rFonts w:ascii="Times New Roman" w:cs="Times New Roman" w:eastAsia="Times New Roman" w:hAnsi="Times New Roman"/>
          <w:sz w:val="22"/>
          <w:szCs w:val="22"/>
          <w:color w:val="auto"/>
        </w:rPr>
        <w:t>.</w:t>
      </w:r>
    </w:p>
    <w:p>
      <w:pPr>
        <w:spacing w:after="0" w:line="264" w:lineRule="exact"/>
        <w:rPr>
          <w:rFonts w:ascii="Times New Roman" w:cs="Times New Roman" w:eastAsia="Times New Roman" w:hAnsi="Times New Roman"/>
          <w:sz w:val="22"/>
          <w:szCs w:val="22"/>
          <w:b w:val="1"/>
          <w:bCs w:val="1"/>
          <w:color w:val="auto"/>
        </w:rPr>
      </w:pPr>
    </w:p>
    <w:p>
      <w:pPr>
        <w:jc w:val="both"/>
        <w:ind w:firstLine="1305"/>
        <w:spacing w:after="0" w:line="285" w:lineRule="auto"/>
        <w:tabs>
          <w:tab w:leader="none" w:pos="1833"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Pathologists shall reasonably cooperate with Veracyte at Veracyte’s expense in the billing and collection of fees with respect to Services rendered by Pathologists pursuant this Agreement. Without limiting the generality of the foregoing, Pathologists shall reasonably cooperate with Veracyte: (i) in providing information to permit Veracyte to complete such claim forms with respect to Services rendered by Pathologists pursuant to this Agreement as may be required by insurance carriers, health care service plans, governmental agencies, or other third party payors; and (ii) in all reasonable respects necessary to facilitate Veracyte’s entry into or maintenance of any third party payor arrangements for the provision of services under Federal Health Care Programs or any other public or private health care programs, including insurance programs, self-funded employer health programs, health care service plans and preferred provider organizations.</w:t>
      </w:r>
    </w:p>
    <w:p>
      <w:pPr>
        <w:spacing w:after="0" w:line="200" w:lineRule="exact"/>
        <w:rPr>
          <w:rFonts w:ascii="Times New Roman" w:cs="Times New Roman" w:eastAsia="Times New Roman" w:hAnsi="Times New Roman"/>
          <w:sz w:val="22"/>
          <w:szCs w:val="22"/>
          <w:color w:val="auto"/>
        </w:rPr>
      </w:pPr>
    </w:p>
    <w:p>
      <w:pPr>
        <w:spacing w:after="0" w:line="273" w:lineRule="exact"/>
        <w:rPr>
          <w:rFonts w:ascii="Times New Roman" w:cs="Times New Roman" w:eastAsia="Times New Roman" w:hAnsi="Times New Roman"/>
          <w:sz w:val="22"/>
          <w:szCs w:val="22"/>
          <w:color w:val="auto"/>
        </w:rPr>
      </w:pPr>
    </w:p>
    <w:p>
      <w:pPr>
        <w:ind w:firstLine="1305"/>
        <w:spacing w:after="0" w:line="297" w:lineRule="auto"/>
        <w:tabs>
          <w:tab w:leader="none" w:pos="1832"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Enrollment as provider</w:t>
      </w:r>
      <w:r>
        <w:rPr>
          <w:rFonts w:ascii="Times New Roman" w:cs="Times New Roman" w:eastAsia="Times New Roman" w:hAnsi="Times New Roman"/>
          <w:sz w:val="22"/>
          <w:szCs w:val="22"/>
          <w:color w:val="auto"/>
        </w:rPr>
        <w:t>. If Veracyte is not permitted to participate in any third-party payor arrangement that includes the Services, Veracyte may request Pathologists to:</w:t>
      </w:r>
    </w:p>
    <w:p>
      <w:pPr>
        <w:spacing w:after="0" w:line="157" w:lineRule="exact"/>
        <w:rPr>
          <w:rFonts w:ascii="Times New Roman" w:cs="Times New Roman" w:eastAsia="Times New Roman" w:hAnsi="Times New Roman"/>
          <w:sz w:val="22"/>
          <w:szCs w:val="22"/>
          <w:color w:val="auto"/>
        </w:rPr>
      </w:pPr>
    </w:p>
    <w:p>
      <w:pPr>
        <w:ind w:left="660" w:firstLine="1293"/>
        <w:spacing w:after="0" w:line="309" w:lineRule="auto"/>
        <w:tabs>
          <w:tab w:leader="none" w:pos="2536"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Enroll as a provider, separate from Veracyte, in any third party payor arrangement designated by Veracyte, with respect to services provided pursuant to this Agreement;</w:t>
      </w:r>
    </w:p>
    <w:p>
      <w:pPr>
        <w:spacing w:after="0" w:line="158" w:lineRule="exact"/>
        <w:rPr>
          <w:rFonts w:ascii="Times New Roman" w:cs="Times New Roman" w:eastAsia="Times New Roman" w:hAnsi="Times New Roman"/>
          <w:sz w:val="22"/>
          <w:szCs w:val="22"/>
          <w:color w:val="auto"/>
        </w:rPr>
      </w:pPr>
    </w:p>
    <w:p>
      <w:pPr>
        <w:jc w:val="both"/>
        <w:ind w:left="660" w:firstLine="1293"/>
        <w:spacing w:after="0" w:line="295" w:lineRule="auto"/>
        <w:tabs>
          <w:tab w:leader="none" w:pos="2578"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 express contractual agreement with said third party payor, or with any intermediate organization, including any independent practice association, as required to effect Pathologists’ enrollment as a provider; and/or</w:t>
      </w:r>
    </w:p>
    <w:p>
      <w:pPr>
        <w:spacing w:after="0" w:line="174" w:lineRule="exact"/>
        <w:rPr>
          <w:rFonts w:ascii="Times New Roman" w:cs="Times New Roman" w:eastAsia="Times New Roman" w:hAnsi="Times New Roman"/>
          <w:sz w:val="22"/>
          <w:szCs w:val="22"/>
          <w:color w:val="auto"/>
        </w:rPr>
      </w:pPr>
    </w:p>
    <w:p>
      <w:pPr>
        <w:jc w:val="both"/>
        <w:ind w:left="660" w:firstLine="1293"/>
        <w:spacing w:after="0" w:line="295" w:lineRule="auto"/>
        <w:tabs>
          <w:tab w:leader="none" w:pos="2562"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 express contractual agreement with Veracyte regarding global billing, capitation or other payment arrangements that cover Veracyte services and pathology services, as necessary to implement the third party payor arrangement.</w:t>
      </w:r>
    </w:p>
    <w:p>
      <w:pPr>
        <w:spacing w:after="0" w:line="17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2"/>
          <w:szCs w:val="22"/>
          <w:color w:val="auto"/>
        </w:rPr>
        <w:t>Notwithstanding any other provision in this Agreement, upon Pathologists’ failure for any reason to take any of the steps above within ten (10) business days after receipt of a written request, Veracyte may engage an additional service provider to provide the Services for patients covered by the third-party payor in question.</w:t>
      </w:r>
    </w:p>
    <w:p>
      <w:pPr>
        <w:spacing w:after="0" w:line="171" w:lineRule="exact"/>
        <w:rPr>
          <w:sz w:val="20"/>
          <w:szCs w:val="20"/>
          <w:color w:val="auto"/>
        </w:rPr>
      </w:pPr>
    </w:p>
    <w:p>
      <w:pPr>
        <w:ind w:left="2040" w:hanging="492"/>
        <w:spacing w:after="0"/>
        <w:tabs>
          <w:tab w:leader="none" w:pos="204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Insurance</w:t>
      </w:r>
      <w:r>
        <w:rPr>
          <w:rFonts w:ascii="Times New Roman" w:cs="Times New Roman" w:eastAsia="Times New Roman" w:hAnsi="Times New Roman"/>
          <w:sz w:val="22"/>
          <w:szCs w:val="22"/>
          <w:color w:val="auto"/>
        </w:rPr>
        <w:t>.</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420"/>
          </w:cols>
          <w:pgMar w:left="240" w:top="598" w:right="239" w:bottom="1440" w:gutter="0" w:footer="0" w:header="0"/>
        </w:sectPr>
      </w:pPr>
    </w:p>
    <w:bookmarkStart w:id="63" w:name="page64"/>
    <w:bookmarkEnd w:id="63"/>
    <w:p>
      <w:pPr>
        <w:jc w:val="both"/>
        <w:ind w:firstLine="1305"/>
        <w:spacing w:after="0" w:line="291" w:lineRule="auto"/>
        <w:tabs>
          <w:tab w:leader="none" w:pos="18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Pathologists shall at its own expense maintain professional errors and omissions insurance with policy limits of at least One Million Dollars ($1,000,000) per claim and Three Million Dollars ($3,000,000) annual aggregate for each Approved Physician. Veracyte shall at its own expense maintain professional malpractice insurance for its laboratory operations with policy limits of at least Three Million Dollars ($3,000,000).</w:t>
      </w:r>
    </w:p>
    <w:p>
      <w:pPr>
        <w:spacing w:after="0" w:line="177" w:lineRule="exact"/>
        <w:rPr>
          <w:rFonts w:ascii="Times New Roman" w:cs="Times New Roman" w:eastAsia="Times New Roman" w:hAnsi="Times New Roman"/>
          <w:sz w:val="22"/>
          <w:szCs w:val="22"/>
          <w:color w:val="auto"/>
        </w:rPr>
      </w:pPr>
    </w:p>
    <w:p>
      <w:pPr>
        <w:jc w:val="both"/>
        <w:ind w:firstLine="1305"/>
        <w:spacing w:after="0" w:line="284" w:lineRule="auto"/>
        <w:tabs>
          <w:tab w:leader="none" w:pos="199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Subrogation</w:t>
      </w:r>
      <w:r>
        <w:rPr>
          <w:rFonts w:ascii="Times New Roman" w:cs="Times New Roman" w:eastAsia="Times New Roman" w:hAnsi="Times New Roman"/>
          <w:sz w:val="22"/>
          <w:szCs w:val="22"/>
          <w:color w:val="auto"/>
        </w:rPr>
        <w:t>. Whenever (a) any loss, cost, damage or expense resulting from professional malpractice is incurred by either Party and (b) such Party is then covered (or is required under this Agreement to be covered) in whole or in part by insurance with respect to such loss, cost, damage or expense, then the Party so insured hereby releases the other Party from any liability it may have on account of such loss, cost, damage or expense to the extent of any amount recovered by reason of such insurance, and waives any right of subrogation which might otherwise exist on account thereof, provided that such release of liability and waiver of the right to subrogation shall not be operative in any case where the effect thereof is to invalidate such insurance coverage or increase the cost thereof. The Parties shall use their respective best efforts to obtain such a release and waiver of subrogation from their respective insurance carriers and shall obtain any special endorsements, if required by their insurer, to evidence compliance with the aforementioned waiver. The releases granted herein shall include releases of claims caused by negligence.</w:t>
      </w:r>
    </w:p>
    <w:p>
      <w:pPr>
        <w:spacing w:after="0" w:line="189" w:lineRule="exact"/>
        <w:rPr>
          <w:rFonts w:ascii="Times New Roman" w:cs="Times New Roman" w:eastAsia="Times New Roman" w:hAnsi="Times New Roman"/>
          <w:sz w:val="22"/>
          <w:szCs w:val="22"/>
          <w:color w:val="auto"/>
        </w:rPr>
      </w:pPr>
    </w:p>
    <w:p>
      <w:pPr>
        <w:ind w:left="2020" w:hanging="472"/>
        <w:spacing w:after="0"/>
        <w:tabs>
          <w:tab w:leader="none" w:pos="2020" w:val="left"/>
        </w:tabs>
        <w:numPr>
          <w:ilvl w:val="1"/>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Indemnity</w:t>
      </w:r>
      <w:r>
        <w:rPr>
          <w:rFonts w:ascii="Times New Roman" w:cs="Times New Roman" w:eastAsia="Times New Roman" w:hAnsi="Times New Roman"/>
          <w:sz w:val="22"/>
          <w:szCs w:val="22"/>
          <w:color w:val="auto"/>
        </w:rPr>
        <w:t>.</w:t>
      </w:r>
    </w:p>
    <w:p>
      <w:pPr>
        <w:spacing w:after="0" w:line="264" w:lineRule="exact"/>
        <w:rPr>
          <w:sz w:val="20"/>
          <w:szCs w:val="20"/>
          <w:color w:val="auto"/>
        </w:rPr>
      </w:pPr>
    </w:p>
    <w:p>
      <w:pPr>
        <w:ind w:firstLine="1305"/>
        <w:spacing w:after="0" w:line="309" w:lineRule="auto"/>
        <w:tabs>
          <w:tab w:leader="none" w:pos="18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Indemnity by Pathologists</w:t>
      </w:r>
      <w:r>
        <w:rPr>
          <w:rFonts w:ascii="Times New Roman" w:cs="Times New Roman" w:eastAsia="Times New Roman" w:hAnsi="Times New Roman"/>
          <w:sz w:val="22"/>
          <w:szCs w:val="22"/>
          <w:color w:val="auto"/>
        </w:rPr>
        <w:t>. Pathologists shall indemnify and defend Veracyte from and against any claims arising out of (i) the breach of this Agreement by Pathologists, and/or (ii) from Pathologists’ professional errors or omissions.</w:t>
      </w:r>
    </w:p>
    <w:p>
      <w:pPr>
        <w:spacing w:after="0" w:line="200" w:lineRule="exact"/>
        <w:rPr>
          <w:rFonts w:ascii="Times New Roman" w:cs="Times New Roman" w:eastAsia="Times New Roman" w:hAnsi="Times New Roman"/>
          <w:sz w:val="22"/>
          <w:szCs w:val="22"/>
          <w:color w:val="auto"/>
        </w:rPr>
      </w:pPr>
    </w:p>
    <w:p>
      <w:pPr>
        <w:spacing w:after="0" w:line="228" w:lineRule="exact"/>
        <w:rPr>
          <w:rFonts w:ascii="Times New Roman" w:cs="Times New Roman" w:eastAsia="Times New Roman" w:hAnsi="Times New Roman"/>
          <w:sz w:val="22"/>
          <w:szCs w:val="22"/>
          <w:color w:val="auto"/>
        </w:rPr>
      </w:pPr>
    </w:p>
    <w:p>
      <w:pPr>
        <w:jc w:val="both"/>
        <w:ind w:firstLine="1305"/>
        <w:spacing w:after="0" w:line="291" w:lineRule="auto"/>
        <w:tabs>
          <w:tab w:leader="none" w:pos="1792"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Indemnity by Veracyte</w:t>
      </w:r>
      <w:r>
        <w:rPr>
          <w:rFonts w:ascii="Times New Roman" w:cs="Times New Roman" w:eastAsia="Times New Roman" w:hAnsi="Times New Roman"/>
          <w:sz w:val="22"/>
          <w:szCs w:val="22"/>
          <w:color w:val="auto"/>
        </w:rPr>
        <w:t>. Veracyte shall indemnify and defend Pathologists against any claims arising out of (i) the breach of this Agreement by Veracyte, (ii) the preparation of any pathology specimens by Veracyte, and/or (iii) the operation of the cytology or molecular laboratories, and/or (iv) the wrongful disclosure of any patient protected health information by Veracyte or as a result of any defects in any software or computer system provided or maintained by Veracyte.</w:t>
      </w:r>
    </w:p>
    <w:p>
      <w:pPr>
        <w:spacing w:after="0" w:line="173" w:lineRule="exact"/>
        <w:rPr>
          <w:rFonts w:ascii="Times New Roman" w:cs="Times New Roman" w:eastAsia="Times New Roman" w:hAnsi="Times New Roman"/>
          <w:sz w:val="22"/>
          <w:szCs w:val="22"/>
          <w:color w:val="auto"/>
        </w:rPr>
      </w:pPr>
    </w:p>
    <w:p>
      <w:pPr>
        <w:ind w:left="2040" w:hanging="492"/>
        <w:spacing w:after="0"/>
        <w:tabs>
          <w:tab w:leader="none" w:pos="2040" w:val="left"/>
        </w:tabs>
        <w:numPr>
          <w:ilvl w:val="1"/>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Cooperation between the Parties</w:t>
      </w:r>
      <w:r>
        <w:rPr>
          <w:rFonts w:ascii="Times New Roman" w:cs="Times New Roman" w:eastAsia="Times New Roman" w:hAnsi="Times New Roman"/>
          <w:sz w:val="22"/>
          <w:szCs w:val="22"/>
          <w:color w:val="auto"/>
        </w:rPr>
        <w:t>.</w:t>
      </w:r>
    </w:p>
    <w:p>
      <w:pPr>
        <w:spacing w:after="0" w:line="264" w:lineRule="exact"/>
        <w:rPr>
          <w:sz w:val="20"/>
          <w:szCs w:val="20"/>
          <w:color w:val="auto"/>
        </w:rPr>
      </w:pPr>
    </w:p>
    <w:p>
      <w:pPr>
        <w:jc w:val="both"/>
        <w:ind w:firstLine="1305"/>
        <w:spacing w:after="0" w:line="302" w:lineRule="auto"/>
        <w:tabs>
          <w:tab w:leader="none" w:pos="1779"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Duty to Cooperate</w:t>
      </w:r>
      <w:r>
        <w:rPr>
          <w:rFonts w:ascii="Times New Roman" w:cs="Times New Roman" w:eastAsia="Times New Roman" w:hAnsi="Times New Roman"/>
          <w:sz w:val="21"/>
          <w:szCs w:val="21"/>
          <w:color w:val="auto"/>
        </w:rPr>
        <w:t>. The Parties: (1) shall interact professionally, positively and respectfully with each other and with all of their respective employees and contractors; (2) shall not in any way intentionally disparage or otherwise communicate to third parties negative facts, statements or opinions regarding the other and their respective Board members, partners, employees or business; and (3) shall at all times perform the Services in a manner that is in the best interests of Veracyte and in the best interests and safety of patients. Pathologists agree to reasonably cooperate with Veracyte in: any pending or future government or payor investigation; any litigation, arbitration or other dispute resolution involving Veracyte; and any internal investigation Veracyte may conduct. Veracyte shall reimburse Pathologists for all expenses reasonably incurred by</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420"/>
          </w:cols>
          <w:pgMar w:left="240" w:top="598" w:right="239" w:bottom="1440" w:gutter="0" w:footer="0" w:header="0"/>
        </w:sectPr>
      </w:pPr>
    </w:p>
    <w:bookmarkStart w:id="64" w:name="page65"/>
    <w:bookmarkEnd w:id="64"/>
    <w:p>
      <w:pPr>
        <w:spacing w:after="0" w:line="309" w:lineRule="auto"/>
        <w:rPr>
          <w:sz w:val="20"/>
          <w:szCs w:val="20"/>
          <w:color w:val="auto"/>
        </w:rPr>
      </w:pPr>
      <w:r>
        <w:rPr>
          <w:rFonts w:ascii="Times New Roman" w:cs="Times New Roman" w:eastAsia="Times New Roman" w:hAnsi="Times New Roman"/>
          <w:sz w:val="22"/>
          <w:szCs w:val="22"/>
          <w:color w:val="auto"/>
        </w:rPr>
        <w:t>Pathologists in compliance with this Section 12(a), except that Veracyte shall not pay Pathologists for Pathologists’ expenses in any dispute resolution where Pathologists are a co-defendant in an action brought by a third party.</w:t>
      </w:r>
    </w:p>
    <w:p>
      <w:pPr>
        <w:spacing w:after="0" w:line="159" w:lineRule="exact"/>
        <w:rPr>
          <w:sz w:val="20"/>
          <w:szCs w:val="20"/>
          <w:color w:val="auto"/>
        </w:rPr>
      </w:pPr>
    </w:p>
    <w:p>
      <w:pPr>
        <w:jc w:val="both"/>
        <w:ind w:firstLine="1305"/>
        <w:spacing w:after="0" w:line="285" w:lineRule="auto"/>
        <w:tabs>
          <w:tab w:leader="none" w:pos="183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Claim Resolution</w:t>
      </w:r>
      <w:r>
        <w:rPr>
          <w:rFonts w:ascii="Times New Roman" w:cs="Times New Roman" w:eastAsia="Times New Roman" w:hAnsi="Times New Roman"/>
          <w:sz w:val="22"/>
          <w:szCs w:val="22"/>
          <w:color w:val="auto"/>
        </w:rPr>
        <w:t>. The Parties recognize that, during the term of this Agreement and for a period thereafter, certain risk management issues, legal issues, claims or actions may arise that involve or could potentially involve the Parties and their respective employees and agents. The Parties further recognize the importance of cooperating with each other in good faith when such issues, claims or actions arise, to the extent such cooperation does not violate any applicable laws, cause the breach of any duties created by any policies of insurance or programs of self-insurance, or otherwise compromise the confidentiality of communications or information regarding the issues, claims or actions. As such, the Parties hereby agree to cooperate in good faith, using their best efforts, to address such risk management and claims handling issues in a manner that strongly encourages full cooperation between the Parties.</w:t>
      </w:r>
    </w:p>
    <w:p>
      <w:pPr>
        <w:spacing w:after="0" w:line="185" w:lineRule="exact"/>
        <w:rPr>
          <w:rFonts w:ascii="Times New Roman" w:cs="Times New Roman" w:eastAsia="Times New Roman" w:hAnsi="Times New Roman"/>
          <w:sz w:val="22"/>
          <w:szCs w:val="22"/>
          <w:color w:val="auto"/>
        </w:rPr>
      </w:pPr>
    </w:p>
    <w:p>
      <w:pPr>
        <w:ind w:left="2040" w:hanging="492"/>
        <w:spacing w:after="0"/>
        <w:tabs>
          <w:tab w:leader="none" w:pos="2040" w:val="left"/>
        </w:tabs>
        <w:numPr>
          <w:ilvl w:val="1"/>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Noncompetition/Nonsolicitation</w:t>
      </w:r>
      <w:r>
        <w:rPr>
          <w:rFonts w:ascii="Times New Roman" w:cs="Times New Roman" w:eastAsia="Times New Roman" w:hAnsi="Times New Roman"/>
          <w:sz w:val="22"/>
          <w:szCs w:val="22"/>
          <w:color w:val="auto"/>
        </w:rPr>
        <w:t>.</w:t>
      </w:r>
    </w:p>
    <w:p>
      <w:pPr>
        <w:spacing w:after="0" w:line="264" w:lineRule="exact"/>
        <w:rPr>
          <w:sz w:val="20"/>
          <w:szCs w:val="20"/>
          <w:color w:val="auto"/>
        </w:rPr>
      </w:pPr>
    </w:p>
    <w:p>
      <w:pPr>
        <w:jc w:val="both"/>
        <w:ind w:firstLine="1305"/>
        <w:spacing w:after="0" w:line="291" w:lineRule="auto"/>
        <w:tabs>
          <w:tab w:leader="none" w:pos="182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 During the term of this Agreement, Pathologists shall not, without first obtaining the prior written consent of Veracyte, provide cytopathologic studies of thyroid specimens. Pathologists shall ensure that each of the physicians that are providing the Services under this Agreement shall not provide a service that is similar to the Services to any third party.</w:t>
      </w:r>
    </w:p>
    <w:p>
      <w:pPr>
        <w:spacing w:after="0" w:line="177" w:lineRule="exact"/>
        <w:rPr>
          <w:rFonts w:ascii="Times New Roman" w:cs="Times New Roman" w:eastAsia="Times New Roman" w:hAnsi="Times New Roman"/>
          <w:sz w:val="22"/>
          <w:szCs w:val="22"/>
          <w:color w:val="auto"/>
        </w:rPr>
      </w:pPr>
    </w:p>
    <w:p>
      <w:pPr>
        <w:jc w:val="both"/>
        <w:ind w:firstLine="1305"/>
        <w:spacing w:after="0" w:line="287" w:lineRule="auto"/>
        <w:tabs>
          <w:tab w:leader="none" w:pos="180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 of Employees</w:t>
      </w:r>
      <w:r>
        <w:rPr>
          <w:rFonts w:ascii="Times New Roman" w:cs="Times New Roman" w:eastAsia="Times New Roman" w:hAnsi="Times New Roman"/>
          <w:sz w:val="22"/>
          <w:szCs w:val="22"/>
          <w:color w:val="auto"/>
        </w:rPr>
        <w:t>. Each Party agrees that during the term of the Agreement and for two (2) years after the termination for any reason, it will not solicit the employment of any employee or contractor of the other Party. Furthermore, Veracyte may not directly or indirectly employ, engage or use the services of any physician who Veracyte required that Pathologists remove from providing Services hereunder. Notwithstanding the foregoing, if Pathologists fail to provide the Services under this Agreement, Veracyte may deliver notice to Pathologists describing such failure and if Pathologists do not cure such failure within thirty (30)</w:t>
      </w:r>
    </w:p>
    <w:p>
      <w:pPr>
        <w:spacing w:after="0" w:line="200" w:lineRule="exact"/>
        <w:rPr>
          <w:sz w:val="20"/>
          <w:szCs w:val="20"/>
          <w:color w:val="auto"/>
        </w:rPr>
      </w:pPr>
    </w:p>
    <w:p>
      <w:pPr>
        <w:spacing w:after="0" w:line="254"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days after receipt of such notice, Veracyte shall have the right to enter into agreements directly with the physicians that have provided the Services under this Agreement.</w:t>
      </w:r>
    </w:p>
    <w:p>
      <w:pPr>
        <w:spacing w:after="0" w:line="155" w:lineRule="exact"/>
        <w:rPr>
          <w:sz w:val="20"/>
          <w:szCs w:val="20"/>
          <w:color w:val="auto"/>
        </w:rPr>
      </w:pPr>
    </w:p>
    <w:p>
      <w:pPr>
        <w:ind w:left="2040" w:hanging="492"/>
        <w:spacing w:after="0"/>
        <w:tabs>
          <w:tab w:leader="none" w:pos="204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color w:val="auto"/>
        </w:rPr>
        <w:t>.</w:t>
      </w:r>
    </w:p>
    <w:p>
      <w:pPr>
        <w:spacing w:after="0" w:line="264" w:lineRule="exact"/>
        <w:rPr>
          <w:rFonts w:ascii="Times New Roman" w:cs="Times New Roman" w:eastAsia="Times New Roman" w:hAnsi="Times New Roman"/>
          <w:sz w:val="22"/>
          <w:szCs w:val="22"/>
          <w:b w:val="1"/>
          <w:bCs w:val="1"/>
          <w:color w:val="auto"/>
        </w:rPr>
      </w:pPr>
    </w:p>
    <w:p>
      <w:pPr>
        <w:jc w:val="both"/>
        <w:ind w:firstLine="1953"/>
        <w:spacing w:after="0" w:line="288" w:lineRule="auto"/>
        <w:tabs>
          <w:tab w:leader="none" w:pos="2428"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Each Party recognizes and acknowledges that, by virtue of entering into this Agreement and performing their respective obligations hereunder, each Party may have access to certain information of the other Party that is confidential and constitutes proprietary, valuable, special and unique property of the other Party. The Parties agree that they shall not at any time, either during or subsequent to the term of this Agreement, disclose to others, use, copy or permit to be copied, without the express prior written consent of the other Party whose confidential information is so disclosed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420"/>
          </w:cols>
          <w:pgMar w:left="240" w:top="598" w:right="239" w:bottom="1440" w:gutter="0" w:footer="0" w:header="0"/>
        </w:sectPr>
      </w:pPr>
    </w:p>
    <w:bookmarkStart w:id="65" w:name="page66"/>
    <w:bookmarkEnd w:id="65"/>
    <w:p>
      <w:pPr>
        <w:jc w:val="both"/>
        <w:spacing w:after="0" w:line="295" w:lineRule="auto"/>
        <w:rPr>
          <w:sz w:val="20"/>
          <w:szCs w:val="20"/>
          <w:color w:val="auto"/>
        </w:rPr>
      </w:pPr>
      <w:r>
        <w:rPr>
          <w:rFonts w:ascii="Times New Roman" w:cs="Times New Roman" w:eastAsia="Times New Roman" w:hAnsi="Times New Roman"/>
          <w:sz w:val="22"/>
          <w:szCs w:val="22"/>
          <w:color w:val="auto"/>
        </w:rPr>
        <w:t>or used, except pursuant to the performance of such Party’s duties thereunder, any confidential or proprietary information of the other Party, including, but not limited to, information which concerns clients and their respective patients, costs, or methods of operation or marketing, and which is not otherwise available to the public.</w:t>
      </w:r>
    </w:p>
    <w:p>
      <w:pPr>
        <w:spacing w:after="0" w:line="175" w:lineRule="exact"/>
        <w:rPr>
          <w:sz w:val="20"/>
          <w:szCs w:val="20"/>
          <w:color w:val="auto"/>
        </w:rPr>
      </w:pPr>
    </w:p>
    <w:p>
      <w:pPr>
        <w:jc w:val="both"/>
        <w:ind w:firstLine="1953"/>
        <w:spacing w:after="0" w:line="315" w:lineRule="auto"/>
        <w:tabs>
          <w:tab w:leader="none" w:pos="2426"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Disclosure of Terms of this Agreement</w:t>
      </w:r>
      <w:r>
        <w:rPr>
          <w:rFonts w:ascii="Times New Roman" w:cs="Times New Roman" w:eastAsia="Times New Roman" w:hAnsi="Times New Roman"/>
          <w:sz w:val="21"/>
          <w:szCs w:val="21"/>
          <w:color w:val="auto"/>
        </w:rPr>
        <w:t>. Except for disclosure to a Party’s legal counsel, accountants or financial advisors, neither Party shall disclose the terms of this Agreement to any person who is not a party or signatory, unless disclosure thereof is required by law or otherwise authorized by this Agreement or consented to in writing by the other Party.</w:t>
      </w:r>
    </w:p>
    <w:p>
      <w:pPr>
        <w:spacing w:after="0" w:line="156" w:lineRule="exact"/>
        <w:rPr>
          <w:rFonts w:ascii="Times New Roman" w:cs="Times New Roman" w:eastAsia="Times New Roman" w:hAnsi="Times New Roman"/>
          <w:sz w:val="21"/>
          <w:szCs w:val="21"/>
          <w:color w:val="auto"/>
        </w:rPr>
      </w:pPr>
    </w:p>
    <w:p>
      <w:pPr>
        <w:jc w:val="both"/>
        <w:ind w:firstLine="1953"/>
        <w:spacing w:after="0" w:line="301" w:lineRule="auto"/>
        <w:tabs>
          <w:tab w:leader="none" w:pos="2563"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Patient Information</w:t>
      </w:r>
      <w:r>
        <w:rPr>
          <w:rFonts w:ascii="Times New Roman" w:cs="Times New Roman" w:eastAsia="Times New Roman" w:hAnsi="Times New Roman"/>
          <w:sz w:val="21"/>
          <w:szCs w:val="21"/>
          <w:color w:val="auto"/>
        </w:rPr>
        <w:t xml:space="preserve">. Pathologists shall not disclose to any third party, except where permitted or required by law or where such disclosure is expressly approved by Veracyte in writing, any patient or medical record information regarding patients of Veracyte, and Pathologists shall comply with all federal and state laws and regulations regarding the confidentiality of such information. Pathologists acknowledge and agree that it shall be deemed to constitute a “business associate” of Veracyte as such term is defined in the Health Insurance Portability and Accountability Act of 1996, as amended by the Health Information, Technology for Economic and Clinical Health Act of 2009 (collectively, “HIPAA”). Accordingly, Pathologists shall comply with all applicable provisions of HIPAA and the regulations and rules promulgated thereto, including, without limitation, executing and delivering to Veracyte a business associate agreement in the form as attached as </w:t>
      </w:r>
      <w:r>
        <w:rPr>
          <w:rFonts w:ascii="Times New Roman" w:cs="Times New Roman" w:eastAsia="Times New Roman" w:hAnsi="Times New Roman"/>
          <w:sz w:val="21"/>
          <w:szCs w:val="21"/>
          <w:u w:val="single" w:color="auto"/>
          <w:color w:val="auto"/>
        </w:rPr>
        <w:t>Exhibit G</w:t>
      </w:r>
      <w:r>
        <w:rPr>
          <w:rFonts w:ascii="Times New Roman" w:cs="Times New Roman" w:eastAsia="Times New Roman" w:hAnsi="Times New Roman"/>
          <w:sz w:val="21"/>
          <w:szCs w:val="21"/>
          <w:color w:val="auto"/>
        </w:rPr>
        <w:t xml:space="preserve"> hereto.</w:t>
      </w:r>
    </w:p>
    <w:p>
      <w:pPr>
        <w:spacing w:after="0" w:line="170" w:lineRule="exact"/>
        <w:rPr>
          <w:rFonts w:ascii="Times New Roman" w:cs="Times New Roman" w:eastAsia="Times New Roman" w:hAnsi="Times New Roman"/>
          <w:sz w:val="21"/>
          <w:szCs w:val="21"/>
          <w:color w:val="auto"/>
        </w:rPr>
      </w:pPr>
    </w:p>
    <w:p>
      <w:pPr>
        <w:ind w:firstLine="1953"/>
        <w:spacing w:after="0" w:line="309" w:lineRule="auto"/>
        <w:tabs>
          <w:tab w:leader="none" w:pos="2588"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provisions of this Section 14 shall survive expiration or other termination of this Agreement, regardless of the cause of such termination.</w:t>
      </w:r>
    </w:p>
    <w:p>
      <w:pPr>
        <w:spacing w:after="0" w:line="154" w:lineRule="exact"/>
        <w:rPr>
          <w:rFonts w:ascii="Times New Roman" w:cs="Times New Roman" w:eastAsia="Times New Roman" w:hAnsi="Times New Roman"/>
          <w:sz w:val="22"/>
          <w:szCs w:val="22"/>
          <w:color w:val="auto"/>
        </w:rPr>
      </w:pPr>
    </w:p>
    <w:p>
      <w:pPr>
        <w:ind w:left="2040" w:hanging="492"/>
        <w:spacing w:after="0"/>
        <w:tabs>
          <w:tab w:leader="none" w:pos="204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Miscellaneous Provisions</w:t>
      </w:r>
      <w:r>
        <w:rPr>
          <w:rFonts w:ascii="Times New Roman" w:cs="Times New Roman" w:eastAsia="Times New Roman" w:hAnsi="Times New Roman"/>
          <w:sz w:val="22"/>
          <w:szCs w:val="22"/>
          <w:color w:val="auto"/>
        </w:rPr>
        <w:t>.</w:t>
      </w:r>
    </w:p>
    <w:p>
      <w:pPr>
        <w:spacing w:after="0" w:line="264" w:lineRule="exact"/>
        <w:rPr>
          <w:rFonts w:ascii="Times New Roman" w:cs="Times New Roman" w:eastAsia="Times New Roman" w:hAnsi="Times New Roman"/>
          <w:sz w:val="22"/>
          <w:szCs w:val="22"/>
          <w:b w:val="1"/>
          <w:bCs w:val="1"/>
          <w:color w:val="auto"/>
        </w:rPr>
      </w:pPr>
    </w:p>
    <w:p>
      <w:pPr>
        <w:jc w:val="both"/>
        <w:ind w:firstLine="1953"/>
        <w:spacing w:after="0" w:line="288" w:lineRule="auto"/>
        <w:tabs>
          <w:tab w:leader="none" w:pos="2536"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Independent Contractor</w:t>
      </w:r>
      <w:r>
        <w:rPr>
          <w:rFonts w:ascii="Times New Roman" w:cs="Times New Roman" w:eastAsia="Times New Roman" w:hAnsi="Times New Roman"/>
          <w:sz w:val="22"/>
          <w:szCs w:val="22"/>
          <w:color w:val="auto"/>
        </w:rPr>
        <w:t>. In performance of all work, duties and obligations under this Agreement, Pathologists are at all times acting and performing as independent contractors practicing the profession of medicine. Veracyte shall have no control or direction over the methods by which Pathologists perform the work and functions required by this Agreement. Pathologists have sole responsibility for the recruitment, retention and compensation of physicians providing Services under this agreement.</w:t>
      </w:r>
    </w:p>
    <w:p>
      <w:pPr>
        <w:spacing w:after="0" w:line="183" w:lineRule="exact"/>
        <w:rPr>
          <w:rFonts w:ascii="Times New Roman" w:cs="Times New Roman" w:eastAsia="Times New Roman" w:hAnsi="Times New Roman"/>
          <w:sz w:val="22"/>
          <w:szCs w:val="22"/>
          <w:color w:val="auto"/>
        </w:rPr>
      </w:pPr>
    </w:p>
    <w:p>
      <w:pPr>
        <w:jc w:val="both"/>
        <w:ind w:firstLine="1953"/>
        <w:spacing w:after="0" w:line="295" w:lineRule="auto"/>
        <w:tabs>
          <w:tab w:leader="none" w:pos="248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Tradename</w:t>
      </w:r>
      <w:r>
        <w:rPr>
          <w:rFonts w:ascii="Times New Roman" w:cs="Times New Roman" w:eastAsia="Times New Roman" w:hAnsi="Times New Roman"/>
          <w:sz w:val="22"/>
          <w:szCs w:val="22"/>
          <w:color w:val="auto"/>
        </w:rPr>
        <w:t>. To the extent that Pathologists adopt a legal name, tradename and/or servicemark that is derivative of “Veracyte,” use of such derivative shall be subject to Veracyte’s prior written approval and subject to a revocable license granted by Veracyte, which license shall be revoked and terminate upon termination or expiration of this Agreement.</w:t>
      </w:r>
    </w:p>
    <w:p>
      <w:pPr>
        <w:spacing w:after="0" w:line="174" w:lineRule="exact"/>
        <w:rPr>
          <w:rFonts w:ascii="Times New Roman" w:cs="Times New Roman" w:eastAsia="Times New Roman" w:hAnsi="Times New Roman"/>
          <w:sz w:val="22"/>
          <w:szCs w:val="22"/>
          <w:color w:val="auto"/>
        </w:rPr>
      </w:pPr>
    </w:p>
    <w:p>
      <w:pPr>
        <w:ind w:left="2400" w:hanging="447"/>
        <w:spacing w:after="0"/>
        <w:tabs>
          <w:tab w:leader="none" w:pos="240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will be governed by the laws of the State of Texas.</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420"/>
          </w:cols>
          <w:pgMar w:left="240" w:top="598" w:right="239" w:bottom="1440" w:gutter="0" w:footer="0" w:header="0"/>
        </w:sectPr>
      </w:pPr>
    </w:p>
    <w:bookmarkStart w:id="66" w:name="page67"/>
    <w:bookmarkEnd w:id="66"/>
    <w:p>
      <w:pPr>
        <w:jc w:val="both"/>
        <w:ind w:left="-20" w:firstLine="1953"/>
        <w:spacing w:after="0" w:line="305" w:lineRule="auto"/>
        <w:tabs>
          <w:tab w:leader="none" w:pos="2487"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Assignment</w:t>
      </w:r>
      <w:r>
        <w:rPr>
          <w:rFonts w:ascii="Times New Roman" w:cs="Times New Roman" w:eastAsia="Times New Roman" w:hAnsi="Times New Roman"/>
          <w:sz w:val="21"/>
          <w:szCs w:val="21"/>
          <w:color w:val="auto"/>
        </w:rPr>
        <w:t>. No assignment of this Agreement or the rights and obligation hereunder shall be valid without the specific written consent of both Parties hereto. This is not a third party beneficiary agreement. Notwithstanding the foregoing, the Parties agree that either Party may assign this Agreement without such consent (a) to any entity which is controlled by or under common control with that Party, or (b) in connection with the transfer or sale of all or substantially all of its business or assets related to this Agreement, or in the event of its merger, consolidation, change in control or other similar transaction.</w:t>
      </w:r>
    </w:p>
    <w:p>
      <w:pPr>
        <w:spacing w:after="0" w:line="167" w:lineRule="exact"/>
        <w:rPr>
          <w:rFonts w:ascii="Times New Roman" w:cs="Times New Roman" w:eastAsia="Times New Roman" w:hAnsi="Times New Roman"/>
          <w:sz w:val="21"/>
          <w:szCs w:val="21"/>
          <w:color w:val="auto"/>
        </w:rPr>
      </w:pPr>
    </w:p>
    <w:p>
      <w:pPr>
        <w:jc w:val="both"/>
        <w:ind w:left="-20" w:firstLine="1953"/>
        <w:spacing w:after="0" w:line="295" w:lineRule="auto"/>
        <w:tabs>
          <w:tab w:leader="none" w:pos="239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demands and any other communications required or permitted hereunder shall be in writing and shall be deemed to have been duly delivered in person or if sent by registered or certified first class United States mail, postage prepaid, or via electronic mail, to:</w:t>
      </w:r>
    </w:p>
    <w:p>
      <w:pPr>
        <w:spacing w:after="0" w:line="17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b w:val="1"/>
          <w:bCs w:val="1"/>
          <w:color w:val="auto"/>
        </w:rPr>
        <w:t>If to Veracyte:</w:t>
      </w:r>
    </w:p>
    <w:p>
      <w:pPr>
        <w:spacing w:after="0" w:line="25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6000 Shoreline Court, Suite 300</w:t>
      </w:r>
    </w:p>
    <w:p>
      <w:pPr>
        <w:spacing w:after="0" w:line="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South San Francisco, CA 94080</w:t>
      </w:r>
    </w:p>
    <w:p>
      <w:pPr>
        <w:spacing w:after="0" w:line="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Attention: Bonnie Anderson</w:t>
      </w:r>
    </w:p>
    <w:p>
      <w:pPr>
        <w:spacing w:after="0" w:line="8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email: bonnie@veracyte.com</w:t>
      </w:r>
    </w:p>
    <w:p>
      <w:pPr>
        <w:spacing w:after="0" w:line="6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copy email: keith@veracyte.com</w:t>
      </w:r>
    </w:p>
    <w:p>
      <w:pPr>
        <w:spacing w:after="0" w:line="26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with copy to:</w:t>
      </w:r>
    </w:p>
    <w:p>
      <w:pPr>
        <w:spacing w:after="0" w:line="26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Fenwick &amp; West LLP</w:t>
      </w:r>
    </w:p>
    <w:p>
      <w:pPr>
        <w:spacing w:after="0" w:line="3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555 California St., 12</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p>
      <w:pPr>
        <w:spacing w:after="0" w:line="1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San Francisco, CA 94104</w:t>
      </w:r>
    </w:p>
    <w:p>
      <w:pPr>
        <w:spacing w:after="0" w:line="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Attention: Doug Cogen</w:t>
      </w:r>
    </w:p>
    <w:p>
      <w:pPr>
        <w:spacing w:after="0" w:line="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email: dcogen@fenwick.com</w:t>
      </w:r>
    </w:p>
    <w:p>
      <w:pPr>
        <w:spacing w:after="0" w:line="27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b w:val="1"/>
          <w:bCs w:val="1"/>
          <w:color w:val="auto"/>
        </w:rPr>
        <w:t>If to Pathologists:</w:t>
      </w:r>
    </w:p>
    <w:p>
      <w:pPr>
        <w:spacing w:after="0" w:line="2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Thyroid Cytopathology Partners, P.A.</w:t>
      </w:r>
    </w:p>
    <w:p>
      <w:pPr>
        <w:spacing w:after="0" w:line="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12357 A Riata Trace Parkway</w:t>
      </w:r>
    </w:p>
    <w:p>
      <w:pPr>
        <w:spacing w:after="0" w:line="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Building 5, Ste 100</w:t>
      </w:r>
    </w:p>
    <w:p>
      <w:pPr>
        <w:spacing w:after="0" w:line="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Austin, Texas 78727</w:t>
      </w:r>
    </w:p>
    <w:p>
      <w:pPr>
        <w:spacing w:after="0" w:line="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Attention: Tom Traweek, M.D.</w:t>
      </w:r>
    </w:p>
    <w:p>
      <w:pPr>
        <w:spacing w:after="0" w:line="3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email: tom@thyroidcytopath.com</w:t>
      </w:r>
    </w:p>
    <w:p>
      <w:pPr>
        <w:spacing w:after="0" w:line="2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with copy to:</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Rivas Goldstein, LLP</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400"/>
          </w:cols>
          <w:pgMar w:left="260" w:top="598" w:right="239" w:bottom="1440" w:gutter="0" w:footer="0" w:header="0"/>
        </w:sectPr>
      </w:pPr>
    </w:p>
    <w:bookmarkStart w:id="67" w:name="page68"/>
    <w:bookmarkEnd w:id="67"/>
    <w:p>
      <w:pPr>
        <w:ind w:left="1300"/>
        <w:spacing w:after="0"/>
        <w:rPr>
          <w:sz w:val="20"/>
          <w:szCs w:val="20"/>
          <w:color w:val="auto"/>
        </w:rPr>
      </w:pPr>
      <w:r>
        <w:rPr>
          <w:rFonts w:ascii="Times New Roman" w:cs="Times New Roman" w:eastAsia="Times New Roman" w:hAnsi="Times New Roman"/>
          <w:sz w:val="22"/>
          <w:szCs w:val="22"/>
          <w:color w:val="auto"/>
        </w:rPr>
        <w:t>7035 Bee Cave Road, Suite 200</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Austin, Texas 78746</w:t>
      </w:r>
    </w:p>
    <w:p>
      <w:pPr>
        <w:spacing w:after="0" w:line="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Dana Thompson</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email: dana@rivasgoldstein.com</w:t>
      </w:r>
    </w:p>
    <w:p>
      <w:pPr>
        <w:spacing w:after="0" w:line="333" w:lineRule="exact"/>
        <w:rPr>
          <w:sz w:val="20"/>
          <w:szCs w:val="20"/>
          <w:color w:val="auto"/>
        </w:rPr>
      </w:pPr>
    </w:p>
    <w:p>
      <w:pPr>
        <w:ind w:firstLine="648"/>
        <w:spacing w:after="0" w:line="309" w:lineRule="auto"/>
        <w:rPr>
          <w:sz w:val="20"/>
          <w:szCs w:val="20"/>
          <w:color w:val="auto"/>
        </w:rPr>
      </w:pPr>
      <w:r>
        <w:rPr>
          <w:rFonts w:ascii="Times New Roman" w:cs="Times New Roman" w:eastAsia="Times New Roman" w:hAnsi="Times New Roman"/>
          <w:sz w:val="22"/>
          <w:szCs w:val="22"/>
          <w:color w:val="auto"/>
        </w:rPr>
        <w:t>Any of the undersigned may from time to time change said addresses by written notice to the other Party as provided in this Agreement.</w:t>
      </w:r>
    </w:p>
    <w:p>
      <w:pPr>
        <w:spacing w:after="0" w:line="159" w:lineRule="exact"/>
        <w:rPr>
          <w:sz w:val="20"/>
          <w:szCs w:val="20"/>
          <w:color w:val="auto"/>
        </w:rPr>
      </w:pPr>
    </w:p>
    <w:p>
      <w:pPr>
        <w:jc w:val="both"/>
        <w:ind w:firstLine="1953"/>
        <w:spacing w:after="0" w:line="291" w:lineRule="auto"/>
        <w:tabs>
          <w:tab w:leader="none" w:pos="251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contains the complete, full and exclusive understanding of the Parties with respect to the subject matter hereof and supersedes any and all other agreements between the Parties with respect to this subject matter, including the Original Agreement provided that all rights and obligations that accrued under the Original Agreement prior to the Effective Date shall continue in accordance with the terms of the Original Agreement.</w:t>
      </w:r>
    </w:p>
    <w:p>
      <w:pPr>
        <w:spacing w:after="0" w:line="177" w:lineRule="exact"/>
        <w:rPr>
          <w:rFonts w:ascii="Times New Roman" w:cs="Times New Roman" w:eastAsia="Times New Roman" w:hAnsi="Times New Roman"/>
          <w:sz w:val="22"/>
          <w:szCs w:val="22"/>
          <w:color w:val="auto"/>
        </w:rPr>
      </w:pPr>
    </w:p>
    <w:p>
      <w:pPr>
        <w:ind w:left="2440" w:hanging="487"/>
        <w:spacing w:after="0"/>
        <w:tabs>
          <w:tab w:leader="none" w:pos="244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All headings are for convenience only and shall not be construed to modify the substance of</w:t>
      </w:r>
    </w:p>
    <w:p>
      <w:pPr>
        <w:spacing w:after="0" w:line="5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this Agreement.</w:t>
      </w:r>
    </w:p>
    <w:p>
      <w:pPr>
        <w:spacing w:after="0" w:line="260" w:lineRule="exact"/>
        <w:rPr>
          <w:rFonts w:ascii="Times New Roman" w:cs="Times New Roman" w:eastAsia="Times New Roman" w:hAnsi="Times New Roman"/>
          <w:sz w:val="21"/>
          <w:szCs w:val="21"/>
          <w:color w:val="auto"/>
        </w:rPr>
      </w:pPr>
    </w:p>
    <w:p>
      <w:pPr>
        <w:ind w:right="20" w:firstLine="1953"/>
        <w:spacing w:after="0" w:line="309" w:lineRule="auto"/>
        <w:tabs>
          <w:tab w:leader="none" w:pos="252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Any amendments, additions or supplements to this Agreement shall be effective and binding on the Parties only if in writing and signed by each Party to this Agreement.</w:t>
      </w:r>
    </w:p>
    <w:p>
      <w:pPr>
        <w:spacing w:after="0" w:line="158" w:lineRule="exact"/>
        <w:rPr>
          <w:rFonts w:ascii="Times New Roman" w:cs="Times New Roman" w:eastAsia="Times New Roman" w:hAnsi="Times New Roman"/>
          <w:sz w:val="22"/>
          <w:szCs w:val="22"/>
          <w:color w:val="auto"/>
        </w:rPr>
      </w:pPr>
    </w:p>
    <w:p>
      <w:pPr>
        <w:jc w:val="both"/>
        <w:ind w:firstLine="1953"/>
        <w:spacing w:after="0" w:line="308" w:lineRule="auto"/>
        <w:tabs>
          <w:tab w:leader="none" w:pos="2378"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provision of this Agreement is found to be invalid or unenforceable, such provision shall be deemed stricken from this Agreement and the remainder of this Agreement shall remain in full force and effect. The Parties shall negotiate in good faith to amend the Agreement to replace any provision found to be invalid or unenforceable with a valid and enforceable provision which, as nearly as possible, accomplishes the original objectives of the Parties.</w:t>
      </w:r>
    </w:p>
    <w:p>
      <w:pPr>
        <w:spacing w:after="0" w:line="164" w:lineRule="exact"/>
        <w:rPr>
          <w:rFonts w:ascii="Times New Roman" w:cs="Times New Roman" w:eastAsia="Times New Roman" w:hAnsi="Times New Roman"/>
          <w:sz w:val="21"/>
          <w:szCs w:val="21"/>
          <w:color w:val="auto"/>
        </w:rPr>
      </w:pPr>
    </w:p>
    <w:p>
      <w:pPr>
        <w:ind w:firstLine="1953"/>
        <w:spacing w:after="0" w:line="297" w:lineRule="auto"/>
        <w:tabs>
          <w:tab w:leader="none" w:pos="236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Waivers</w:t>
      </w:r>
      <w:r>
        <w:rPr>
          <w:rFonts w:ascii="Times New Roman" w:cs="Times New Roman" w:eastAsia="Times New Roman" w:hAnsi="Times New Roman"/>
          <w:sz w:val="22"/>
          <w:szCs w:val="22"/>
          <w:color w:val="auto"/>
        </w:rPr>
        <w:t>. One or more waivers by either Party of a breach of this Agreement by the other Party shall not be construed as a waiver of further breaches of this Agreement.</w:t>
      </w:r>
    </w:p>
    <w:p>
      <w:pPr>
        <w:spacing w:after="0" w:line="157" w:lineRule="exact"/>
        <w:rPr>
          <w:rFonts w:ascii="Times New Roman" w:cs="Times New Roman" w:eastAsia="Times New Roman" w:hAnsi="Times New Roman"/>
          <w:sz w:val="22"/>
          <w:szCs w:val="22"/>
          <w:color w:val="auto"/>
        </w:rPr>
      </w:pPr>
    </w:p>
    <w:p>
      <w:pPr>
        <w:ind w:firstLine="1953"/>
        <w:spacing w:after="0" w:line="309" w:lineRule="auto"/>
        <w:tabs>
          <w:tab w:leader="none" w:pos="2467"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Inurement</w:t>
      </w:r>
      <w:r>
        <w:rPr>
          <w:rFonts w:ascii="Times New Roman" w:cs="Times New Roman" w:eastAsia="Times New Roman" w:hAnsi="Times New Roman"/>
          <w:sz w:val="22"/>
          <w:szCs w:val="22"/>
          <w:color w:val="auto"/>
        </w:rPr>
        <w:t>. This Agreement shall be binding upon and shall inure to the benefit of each of the Parties hereto, their heirs, estates, spouses, executors, administrators, partners, successors and assigns.</w:t>
      </w:r>
    </w:p>
    <w:p>
      <w:pPr>
        <w:spacing w:after="0" w:line="158" w:lineRule="exact"/>
        <w:rPr>
          <w:rFonts w:ascii="Times New Roman" w:cs="Times New Roman" w:eastAsia="Times New Roman" w:hAnsi="Times New Roman"/>
          <w:sz w:val="22"/>
          <w:szCs w:val="22"/>
          <w:color w:val="auto"/>
        </w:rPr>
      </w:pPr>
    </w:p>
    <w:p>
      <w:pPr>
        <w:ind w:firstLine="1953"/>
        <w:spacing w:after="0" w:line="309" w:lineRule="auto"/>
        <w:tabs>
          <w:tab w:leader="none" w:pos="240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Multiple Counterparts</w:t>
      </w:r>
      <w:r>
        <w:rPr>
          <w:rFonts w:ascii="Times New Roman" w:cs="Times New Roman" w:eastAsia="Times New Roman" w:hAnsi="Times New Roman"/>
          <w:sz w:val="22"/>
          <w:szCs w:val="22"/>
          <w:color w:val="auto"/>
        </w:rPr>
        <w:t>. This Agreement may be executed in multiple counterparts, each of which shall be deemed an original and each alone and all together shall constitute one and the same instrument.</w:t>
      </w:r>
    </w:p>
    <w:p>
      <w:pPr>
        <w:spacing w:after="0" w:line="158" w:lineRule="exact"/>
        <w:rPr>
          <w:rFonts w:ascii="Times New Roman" w:cs="Times New Roman" w:eastAsia="Times New Roman" w:hAnsi="Times New Roman"/>
          <w:sz w:val="22"/>
          <w:szCs w:val="22"/>
          <w:color w:val="auto"/>
        </w:rPr>
      </w:pPr>
    </w:p>
    <w:p>
      <w:pPr>
        <w:ind w:left="2480" w:hanging="527"/>
        <w:spacing w:after="0"/>
        <w:tabs>
          <w:tab w:leader="none" w:pos="248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firstLine="2601"/>
        <w:spacing w:after="0" w:line="309" w:lineRule="auto"/>
        <w:tabs>
          <w:tab w:leader="none" w:pos="3023"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controversy or claim arising out of or relating to this Agreement shall be settled by binding arbitration in accordance with the applicable rules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420"/>
          </w:cols>
          <w:pgMar w:left="240" w:top="382" w:right="239" w:bottom="1440" w:gutter="0" w:footer="0" w:header="0"/>
        </w:sectPr>
      </w:pPr>
    </w:p>
    <w:bookmarkStart w:id="68" w:name="page69"/>
    <w:bookmarkEnd w:id="68"/>
    <w:p>
      <w:pPr>
        <w:jc w:val="both"/>
        <w:spacing w:after="0" w:line="295" w:lineRule="auto"/>
        <w:rPr>
          <w:sz w:val="20"/>
          <w:szCs w:val="20"/>
          <w:color w:val="auto"/>
        </w:rPr>
      </w:pPr>
      <w:r>
        <w:rPr>
          <w:rFonts w:ascii="Times New Roman" w:cs="Times New Roman" w:eastAsia="Times New Roman" w:hAnsi="Times New Roman"/>
          <w:sz w:val="22"/>
          <w:szCs w:val="22"/>
          <w:color w:val="auto"/>
        </w:rPr>
        <w:t>of the American Arbitration Association or a successor organization (the “Arbitration Company”), or such other rules as may be agreed upon by the Parties, and judgment upon the award rendered by the arbitrators may be entered in any court having jurisdiction thereof, subject to the following terms, conditions, and exceptions:</w:t>
      </w:r>
    </w:p>
    <w:p>
      <w:pPr>
        <w:spacing w:after="0" w:line="175" w:lineRule="exact"/>
        <w:rPr>
          <w:sz w:val="20"/>
          <w:szCs w:val="20"/>
          <w:color w:val="auto"/>
        </w:rPr>
      </w:pPr>
    </w:p>
    <w:p>
      <w:pPr>
        <w:jc w:val="both"/>
        <w:ind w:firstLine="2601"/>
        <w:spacing w:after="0" w:line="283" w:lineRule="auto"/>
        <w:tabs>
          <w:tab w:leader="none" w:pos="3072"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be one (1) arbitrator agreed to by the Parties from the Arbitration Company or, if the Parties cannot agree on one arbitrator, there shall be three (3) arbitrators whose selection shall be made in accordance with the procedures then existing for the selection of such arbitrators by the Arbitration Company.</w:t>
      </w:r>
    </w:p>
    <w:p>
      <w:pPr>
        <w:spacing w:after="0" w:line="172" w:lineRule="exact"/>
        <w:rPr>
          <w:rFonts w:ascii="Times New Roman" w:cs="Times New Roman" w:eastAsia="Times New Roman" w:hAnsi="Times New Roman"/>
          <w:sz w:val="22"/>
          <w:szCs w:val="22"/>
          <w:color w:val="auto"/>
        </w:rPr>
      </w:pPr>
    </w:p>
    <w:p>
      <w:pPr>
        <w:ind w:firstLine="2601"/>
        <w:spacing w:after="0" w:line="297" w:lineRule="auto"/>
        <w:tabs>
          <w:tab w:leader="none" w:pos="2972"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venue of any arbitration shall be Travis County, Texas, and the arbitration shall be conducted in accordance with the laws of the State of Texas.</w:t>
      </w:r>
    </w:p>
    <w:p>
      <w:pPr>
        <w:spacing w:after="0" w:line="157" w:lineRule="exact"/>
        <w:rPr>
          <w:rFonts w:ascii="Times New Roman" w:cs="Times New Roman" w:eastAsia="Times New Roman" w:hAnsi="Times New Roman"/>
          <w:sz w:val="22"/>
          <w:szCs w:val="22"/>
          <w:color w:val="auto"/>
        </w:rPr>
      </w:pPr>
    </w:p>
    <w:p>
      <w:pPr>
        <w:jc w:val="both"/>
        <w:ind w:firstLine="2601"/>
        <w:spacing w:after="0" w:line="291" w:lineRule="auto"/>
        <w:tabs>
          <w:tab w:leader="none" w:pos="2973"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of Texas law or the applicable rules of the Arbitration Company to the contrary, each Party shall have all of the rights of discovery pertaining to civil litigation as provided in Texas law. Unless the Parties otherwise agree in writing, any arbitration hereunder shall be conducted in accordance with the rules of evidence existing in the State of Texas at the time of the arbitration.</w:t>
      </w:r>
    </w:p>
    <w:p>
      <w:pPr>
        <w:spacing w:after="0" w:line="177" w:lineRule="exact"/>
        <w:rPr>
          <w:rFonts w:ascii="Times New Roman" w:cs="Times New Roman" w:eastAsia="Times New Roman" w:hAnsi="Times New Roman"/>
          <w:sz w:val="22"/>
          <w:szCs w:val="22"/>
          <w:color w:val="auto"/>
        </w:rPr>
      </w:pPr>
    </w:p>
    <w:p>
      <w:pPr>
        <w:ind w:left="3060" w:hanging="459"/>
        <w:spacing w:after="0"/>
        <w:tabs>
          <w:tab w:leader="none" w:pos="30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will share equally in the costs and expenses of</w:t>
      </w:r>
    </w:p>
    <w:p>
      <w:pPr>
        <w:spacing w:after="0" w:line="200" w:lineRule="exact"/>
        <w:rPr>
          <w:sz w:val="20"/>
          <w:szCs w:val="20"/>
          <w:color w:val="auto"/>
        </w:rPr>
      </w:pPr>
    </w:p>
    <w:p>
      <w:pPr>
        <w:spacing w:after="0" w:line="35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2"/>
          <w:szCs w:val="22"/>
          <w:color w:val="auto"/>
        </w:rPr>
        <w:t>arbitration unless the arbitrators find that the position of the non-prevailing Party in such arbitration was without substantial justification, in which event the arbitrators may assess all or an unequal portion of such costs and expenses together with reasonable attorneys’ fees against the non-prevailing Party, as the arbitrators deem equitable.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420"/>
          </w:cols>
          <w:pgMar w:left="240" w:top="598" w:right="239" w:bottom="1440" w:gutter="0" w:footer="0" w:header="0"/>
        </w:sectPr>
      </w:pPr>
    </w:p>
    <w:bookmarkStart w:id="69" w:name="page70"/>
    <w:bookmarkEnd w:id="69"/>
    <w:p>
      <w:pPr>
        <w:ind w:left="660"/>
        <w:spacing w:after="0"/>
        <w:rPr>
          <w:sz w:val="20"/>
          <w:szCs w:val="20"/>
          <w:color w:val="auto"/>
        </w:rPr>
      </w:pPr>
      <w:r>
        <w:rPr>
          <w:rFonts w:ascii="Times New Roman" w:cs="Times New Roman" w:eastAsia="Times New Roman" w:hAnsi="Times New Roman"/>
          <w:sz w:val="21"/>
          <w:szCs w:val="21"/>
          <w:color w:val="auto"/>
        </w:rPr>
        <w:t>IN WITNESS WHEREOF, the Parties hereto have caused this Agreement to be executed as of the day and year first written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above.</w:t>
      </w:r>
    </w:p>
    <w:p>
      <w:pPr>
        <w:spacing w:after="0" w:line="256"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22"/>
          <w:szCs w:val="22"/>
          <w:b w:val="1"/>
          <w:bCs w:val="1"/>
          <w:color w:val="auto"/>
        </w:rPr>
        <w:t>PATHOLOGISTS</w:t>
      </w:r>
      <w:r>
        <w:rPr>
          <w:sz w:val="20"/>
          <w:szCs w:val="20"/>
          <w:color w:val="auto"/>
        </w:rPr>
        <w:tab/>
      </w:r>
      <w:r>
        <w:rPr>
          <w:rFonts w:ascii="Times New Roman" w:cs="Times New Roman" w:eastAsia="Times New Roman" w:hAnsi="Times New Roman"/>
          <w:sz w:val="21"/>
          <w:szCs w:val="21"/>
          <w:b w:val="1"/>
          <w:bCs w:val="1"/>
          <w:color w:val="auto"/>
        </w:rPr>
        <w:t>VERACYTE, INC.</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THYROID CYTOPATHOLOGY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PARTNERS, P.A.</w:t>
      </w:r>
    </w:p>
    <w:p>
      <w:pPr>
        <w:spacing w:after="0" w:line="248" w:lineRule="exact"/>
        <w:rPr>
          <w:sz w:val="20"/>
          <w:szCs w:val="20"/>
          <w:color w:val="auto"/>
        </w:rPr>
      </w:pPr>
    </w:p>
    <w:p>
      <w:pPr>
        <w:spacing w:after="0"/>
        <w:tabs>
          <w:tab w:leader="none" w:pos="2080" w:val="left"/>
        </w:tabs>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Tom Traweek</w:t>
      </w:r>
      <w:r>
        <w:rPr>
          <w:sz w:val="20"/>
          <w:szCs w:val="20"/>
          <w:color w:val="auto"/>
        </w:rPr>
        <w:tab/>
      </w: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Bonnie Anderson</w:t>
      </w:r>
    </w:p>
    <w:p>
      <w:pPr>
        <w:spacing w:after="0" w:line="24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color w:val="auto"/>
        </w:rPr>
        <w:t xml:space="preserve">Its: </w:t>
      </w:r>
      <w:r>
        <w:rPr>
          <w:rFonts w:ascii="Times New Roman" w:cs="Times New Roman" w:eastAsia="Times New Roman" w:hAnsi="Times New Roman"/>
          <w:sz w:val="22"/>
          <w:szCs w:val="22"/>
          <w:u w:val="single" w:color="auto"/>
          <w:color w:val="auto"/>
        </w:rPr>
        <w:t>CEO</w:t>
      </w:r>
      <w:r>
        <w:rPr>
          <w:sz w:val="20"/>
          <w:szCs w:val="20"/>
          <w:color w:val="auto"/>
        </w:rPr>
        <w:tab/>
      </w:r>
      <w:r>
        <w:rPr>
          <w:rFonts w:ascii="Times New Roman" w:cs="Times New Roman" w:eastAsia="Times New Roman" w:hAnsi="Times New Roman"/>
          <w:sz w:val="21"/>
          <w:szCs w:val="21"/>
          <w:color w:val="auto"/>
        </w:rPr>
        <w:t xml:space="preserve">Its: </w:t>
      </w:r>
      <w:r>
        <w:rPr>
          <w:rFonts w:ascii="Times New Roman" w:cs="Times New Roman" w:eastAsia="Times New Roman" w:hAnsi="Times New Roman"/>
          <w:sz w:val="21"/>
          <w:szCs w:val="21"/>
          <w:u w:val="single" w:color="auto"/>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360"/>
          </w:cols>
          <w:pgMar w:left="240" w:top="396" w:right="299" w:bottom="1440" w:gutter="0" w:footer="0" w:header="0"/>
        </w:sectPr>
      </w:pPr>
    </w:p>
    <w:bookmarkStart w:id="70" w:name="page71"/>
    <w:bookmarkEnd w:id="70"/>
    <w:p>
      <w:pPr>
        <w:jc w:val="center"/>
        <w:ind w:right="-122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314" w:lineRule="exact"/>
        <w:rPr>
          <w:sz w:val="20"/>
          <w:szCs w:val="20"/>
          <w:color w:val="auto"/>
        </w:rPr>
      </w:pPr>
    </w:p>
    <w:p>
      <w:pPr>
        <w:jc w:val="right"/>
        <w:ind w:right="2839"/>
        <w:spacing w:after="0"/>
        <w:rPr>
          <w:sz w:val="20"/>
          <w:szCs w:val="20"/>
          <w:color w:val="auto"/>
        </w:rPr>
      </w:pPr>
      <w:r>
        <w:rPr>
          <w:rFonts w:ascii="Times New Roman" w:cs="Times New Roman" w:eastAsia="Times New Roman" w:hAnsi="Times New Roman"/>
          <w:sz w:val="22"/>
          <w:szCs w:val="22"/>
          <w:b w:val="1"/>
          <w:bCs w:val="1"/>
          <w:color w:val="auto"/>
        </w:rPr>
        <w:t>EXCEPTIONS TO EXCLUSIVITY</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200" w:lineRule="exact"/>
        <w:rPr>
          <w:sz w:val="20"/>
          <w:szCs w:val="20"/>
          <w:color w:val="auto"/>
        </w:rPr>
      </w:pPr>
    </w:p>
    <w:p>
      <w:pPr>
        <w:spacing w:after="0" w:line="32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0"/>
          <w:szCs w:val="20"/>
          <w:color w:val="auto"/>
        </w:rPr>
        <w:t>A-1</w:t>
      </w:r>
    </w:p>
    <w:p>
      <w:pPr>
        <w:sectPr>
          <w:pgSz w:w="11900" w:h="16838" w:orient="portrait"/>
          <w:cols w:equalWidth="0" w:num="1">
            <w:col w:w="10219"/>
          </w:cols>
          <w:pgMar w:left="240" w:top="392" w:right="1440" w:bottom="1440" w:gutter="0" w:footer="0" w:header="0"/>
        </w:sectPr>
      </w:pPr>
    </w:p>
    <w:bookmarkStart w:id="71" w:name="page72"/>
    <w:bookmarkEnd w:id="71"/>
    <w:p>
      <w:pPr>
        <w:jc w:val="center"/>
        <w:ind w:right="-59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31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b w:val="1"/>
          <w:bCs w:val="1"/>
          <w:color w:val="auto"/>
        </w:rPr>
        <w:t>APPROVED PHYSICIANS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Dr. Tom Traweek Dr. Cherry Starling Dr. Kelly Gilliland Dr. Laura Been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Dr. Robert Domingo Dr. Michelle Horton Dr. Lorna Ogden Dr. Cindi Snowden Dr. Sharenda Williams Dr. Karen Nauschuetz</w:t>
      </w:r>
    </w:p>
    <w:p>
      <w:pPr>
        <w:spacing w:after="0" w:line="200" w:lineRule="exact"/>
        <w:rPr>
          <w:sz w:val="20"/>
          <w:szCs w:val="20"/>
          <w:color w:val="auto"/>
        </w:rPr>
      </w:pPr>
    </w:p>
    <w:p>
      <w:pPr>
        <w:spacing w:after="0" w:line="34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0"/>
          <w:szCs w:val="20"/>
          <w:color w:val="auto"/>
        </w:rPr>
        <w:t>B-1</w:t>
      </w:r>
    </w:p>
    <w:p>
      <w:pPr>
        <w:sectPr>
          <w:pgSz w:w="11900" w:h="16838" w:orient="portrait"/>
          <w:cols w:equalWidth="0" w:num="1">
            <w:col w:w="10840"/>
          </w:cols>
          <w:pgMar w:left="240" w:top="392" w:right="819" w:bottom="1440" w:gutter="0" w:footer="0" w:header="0"/>
        </w:sectPr>
      </w:pPr>
    </w:p>
    <w:bookmarkStart w:id="72" w:name="page73"/>
    <w:bookmarkEnd w:id="72"/>
    <w:p>
      <w:pPr>
        <w:jc w:val="center"/>
        <w:ind w:right="-1220"/>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314" w:lineRule="exact"/>
        <w:rPr>
          <w:sz w:val="20"/>
          <w:szCs w:val="20"/>
          <w:color w:val="auto"/>
        </w:rPr>
      </w:pPr>
    </w:p>
    <w:p>
      <w:pPr>
        <w:jc w:val="right"/>
        <w:ind w:right="2519"/>
        <w:spacing w:after="0"/>
        <w:rPr>
          <w:sz w:val="20"/>
          <w:szCs w:val="20"/>
          <w:color w:val="auto"/>
        </w:rPr>
      </w:pPr>
      <w:r>
        <w:rPr>
          <w:rFonts w:ascii="Times New Roman" w:cs="Times New Roman" w:eastAsia="Times New Roman" w:hAnsi="Times New Roman"/>
          <w:sz w:val="22"/>
          <w:szCs w:val="22"/>
          <w:b w:val="1"/>
          <w:bCs w:val="1"/>
          <w:color w:val="auto"/>
        </w:rPr>
        <w:t>ADDITIONAL PATHOLOGY SERVICES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200" w:lineRule="exact"/>
        <w:rPr>
          <w:sz w:val="20"/>
          <w:szCs w:val="20"/>
          <w:color w:val="auto"/>
        </w:rPr>
      </w:pPr>
    </w:p>
    <w:p>
      <w:pPr>
        <w:spacing w:after="0" w:line="32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0"/>
          <w:szCs w:val="20"/>
          <w:color w:val="auto"/>
        </w:rPr>
        <w:t>C-1</w:t>
      </w:r>
    </w:p>
    <w:p>
      <w:pPr>
        <w:sectPr>
          <w:pgSz w:w="11900" w:h="16838" w:orient="portrait"/>
          <w:cols w:equalWidth="0" w:num="1">
            <w:col w:w="10219"/>
          </w:cols>
          <w:pgMar w:left="240" w:top="392"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2"/>
          <w:szCs w:val="22"/>
          <w:b w:val="1"/>
          <w:bCs w:val="1"/>
          <w:color w:val="auto"/>
        </w:rPr>
        <w:t>EXHIBIT D [RESERVED]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20"/>
          <w:szCs w:val="20"/>
          <w:color w:val="auto"/>
        </w:rPr>
        <w:t>D-1</w:t>
      </w:r>
    </w:p>
    <w:p>
      <w:pPr>
        <w:sectPr>
          <w:pgSz w:w="11900" w:h="16838" w:orient="portrait"/>
          <w:cols w:equalWidth="0" w:num="1">
            <w:col w:w="10139"/>
          </w:cols>
          <w:pgMar w:left="320" w:top="446" w:right="1440" w:bottom="1440" w:gutter="0" w:footer="0" w:header="0"/>
        </w:sectPr>
      </w:pPr>
    </w:p>
    <w:bookmarkStart w:id="74" w:name="page75"/>
    <w:bookmarkEnd w:id="74"/>
    <w:p>
      <w:pPr>
        <w:ind w:left="5160"/>
        <w:spacing w:after="0"/>
        <w:rPr>
          <w:sz w:val="20"/>
          <w:szCs w:val="20"/>
          <w:color w:val="auto"/>
        </w:rPr>
      </w:pPr>
      <w:r>
        <w:rPr>
          <w:rFonts w:ascii="Times New Roman" w:cs="Times New Roman" w:eastAsia="Times New Roman" w:hAnsi="Times New Roman"/>
          <w:sz w:val="22"/>
          <w:szCs w:val="22"/>
          <w:b w:val="1"/>
          <w:bCs w:val="1"/>
          <w:color w:val="auto"/>
        </w:rPr>
        <w:t>EXHIBIT E</w:t>
      </w:r>
    </w:p>
    <w:p>
      <w:pPr>
        <w:spacing w:after="0" w:line="328" w:lineRule="exact"/>
        <w:rPr>
          <w:sz w:val="20"/>
          <w:szCs w:val="20"/>
          <w:color w:val="auto"/>
        </w:rPr>
      </w:pPr>
    </w:p>
    <w:p>
      <w:pPr>
        <w:jc w:val="right"/>
        <w:ind w:right="3679"/>
        <w:spacing w:after="0"/>
        <w:rPr>
          <w:sz w:val="20"/>
          <w:szCs w:val="20"/>
          <w:color w:val="auto"/>
        </w:rPr>
      </w:pPr>
      <w:r>
        <w:rPr>
          <w:rFonts w:ascii="Times New Roman" w:cs="Times New Roman" w:eastAsia="Times New Roman" w:hAnsi="Times New Roman"/>
          <w:sz w:val="22"/>
          <w:szCs w:val="22"/>
          <w:b w:val="1"/>
          <w:bCs w:val="1"/>
          <w:color w:val="auto"/>
        </w:rPr>
        <w:t>FEE SCHEDULE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80" w:type="dxa"/>
            <w:vAlign w:val="bottom"/>
          </w:tcPr>
          <w:p>
            <w:pPr>
              <w:spacing w:after="0"/>
              <w:rPr>
                <w:sz w:val="22"/>
                <w:szCs w:val="22"/>
                <w:color w:val="auto"/>
              </w:rPr>
            </w:pPr>
          </w:p>
        </w:tc>
        <w:tc>
          <w:tcPr>
            <w:tcW w:w="22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Period  Price per Nodule</w:t>
            </w:r>
          </w:p>
        </w:tc>
        <w:tc>
          <w:tcPr>
            <w:tcW w:w="360" w:type="dxa"/>
            <w:vAlign w:val="bottom"/>
          </w:tcPr>
          <w:p>
            <w:pPr>
              <w:spacing w:after="0"/>
              <w:rPr>
                <w:sz w:val="22"/>
                <w:szCs w:val="22"/>
                <w:color w:val="auto"/>
              </w:rPr>
            </w:pPr>
          </w:p>
        </w:tc>
      </w:tr>
      <w:tr>
        <w:trPr>
          <w:trHeight w:val="20"/>
        </w:trPr>
        <w:tc>
          <w:tcPr>
            <w:tcW w:w="1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532"/>
        </w:trPr>
        <w:tc>
          <w:tcPr>
            <w:tcW w:w="364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February 1, 2019 – September 30, 2019</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7"/>
              </w:rPr>
              <w:t>$[</w:t>
            </w:r>
            <w:r>
              <w:rPr>
                <w:rFonts w:ascii="Times New Roman" w:cs="Times New Roman" w:eastAsia="Times New Roman" w:hAnsi="Times New Roman"/>
                <w:sz w:val="18"/>
                <w:szCs w:val="18"/>
                <w:color w:val="auto"/>
                <w:w w:val="97"/>
              </w:rPr>
              <w:t>*</w:t>
            </w:r>
            <w:r>
              <w:rPr>
                <w:rFonts w:ascii="Times New Roman" w:cs="Times New Roman" w:eastAsia="Times New Roman" w:hAnsi="Times New Roman"/>
                <w:sz w:val="22"/>
                <w:szCs w:val="22"/>
                <w:color w:val="auto"/>
                <w:w w:val="97"/>
              </w:rPr>
              <w:t>]</w:t>
            </w:r>
          </w:p>
        </w:tc>
      </w:tr>
      <w:tr>
        <w:trPr>
          <w:trHeight w:val="527"/>
        </w:trPr>
        <w:tc>
          <w:tcPr>
            <w:tcW w:w="3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October 1, 2019 – October 31, 2022</w:t>
            </w:r>
          </w:p>
        </w:tc>
        <w:tc>
          <w:tcPr>
            <w:tcW w:w="760" w:type="dxa"/>
            <w:vAlign w:val="bottom"/>
            <w:gridSpan w:val="3"/>
          </w:tcPr>
          <w:p>
            <w:pPr>
              <w:jc w:val="right"/>
              <w:ind w:right="212"/>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w:t>
            </w:r>
          </w:p>
        </w:tc>
      </w:tr>
    </w:tbl>
    <w:p>
      <w:pPr>
        <w:spacing w:after="0" w:line="23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E-1</w:t>
      </w:r>
    </w:p>
    <w:p>
      <w:pPr>
        <w:sectPr>
          <w:pgSz w:w="11900" w:h="16838" w:orient="portrait"/>
          <w:cols w:equalWidth="0" w:num="1">
            <w:col w:w="10219"/>
          </w:cols>
          <w:pgMar w:left="240" w:top="392"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2"/>
          <w:szCs w:val="22"/>
          <w:color w:val="auto"/>
        </w:rPr>
        <w:t>.</w:t>
      </w:r>
    </w:p>
    <w:p>
      <w:pPr>
        <w:spacing w:after="0" w:line="4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b w:val="1"/>
          <w:bCs w:val="1"/>
          <w:color w:val="auto"/>
        </w:rPr>
        <w:t>EXHIBIT F</w:t>
      </w:r>
    </w:p>
    <w:p>
      <w:pPr>
        <w:spacing w:after="0" w:line="34" w:lineRule="exact"/>
        <w:rPr>
          <w:sz w:val="20"/>
          <w:szCs w:val="20"/>
          <w:color w:val="auto"/>
        </w:rPr>
      </w:pPr>
    </w:p>
    <w:p>
      <w:pPr>
        <w:jc w:val="right"/>
        <w:ind w:right="3919"/>
        <w:spacing w:after="0"/>
        <w:rPr>
          <w:sz w:val="20"/>
          <w:szCs w:val="20"/>
          <w:color w:val="auto"/>
        </w:rPr>
      </w:pPr>
      <w:r>
        <w:rPr>
          <w:rFonts w:ascii="Times New Roman" w:cs="Times New Roman" w:eastAsia="Times New Roman" w:hAnsi="Times New Roman"/>
          <w:sz w:val="22"/>
          <w:szCs w:val="22"/>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F-1</w:t>
      </w:r>
    </w:p>
    <w:p>
      <w:pPr>
        <w:sectPr>
          <w:pgSz w:w="11900" w:h="16838" w:orient="portrait"/>
          <w:cols w:equalWidth="0" w:num="1">
            <w:col w:w="10219"/>
          </w:cols>
          <w:pgMar w:left="240" w:top="369" w:right="1440"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22"/>
          <w:szCs w:val="22"/>
          <w:b w:val="1"/>
          <w:bCs w:val="1"/>
          <w:color w:val="auto"/>
        </w:rPr>
        <w:t>EXHIBIT G</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BUSINESS ASSOCIATE AGREEMENT</w:t>
      </w:r>
    </w:p>
    <w:p>
      <w:pPr>
        <w:spacing w:after="0" w:line="247"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22"/>
          <w:szCs w:val="22"/>
          <w:color w:val="auto"/>
        </w:rPr>
        <w:t xml:space="preserve">This Business Associate Agreement (the “Agreement”) is made by and among </w:t>
      </w:r>
      <w:r>
        <w:rPr>
          <w:rFonts w:ascii="Times New Roman" w:cs="Times New Roman" w:eastAsia="Times New Roman" w:hAnsi="Times New Roman"/>
          <w:sz w:val="22"/>
          <w:szCs w:val="22"/>
          <w:b w:val="1"/>
          <w:bCs w:val="1"/>
          <w:color w:val="auto"/>
        </w:rPr>
        <w:t>VERACYTE, INC</w:t>
      </w:r>
      <w:r>
        <w:rPr>
          <w:rFonts w:ascii="Times New Roman" w:cs="Times New Roman" w:eastAsia="Times New Roman" w:hAnsi="Times New Roman"/>
          <w:sz w:val="22"/>
          <w:szCs w:val="22"/>
          <w:color w:val="auto"/>
        </w:rPr>
        <w:t xml:space="preserve">., a California corporation (herein referred to as “Covered Entity”) and </w:t>
      </w:r>
      <w:r>
        <w:rPr>
          <w:rFonts w:ascii="Times New Roman" w:cs="Times New Roman" w:eastAsia="Times New Roman" w:hAnsi="Times New Roman"/>
          <w:sz w:val="22"/>
          <w:szCs w:val="22"/>
          <w:b w:val="1"/>
          <w:bCs w:val="1"/>
          <w:color w:val="auto"/>
        </w:rPr>
        <w:t>THYROID CYTOPATHOLOGY PARTNERS, P.A.</w:t>
      </w:r>
      <w:r>
        <w:rPr>
          <w:rFonts w:ascii="Times New Roman" w:cs="Times New Roman" w:eastAsia="Times New Roman" w:hAnsi="Times New Roman"/>
          <w:sz w:val="22"/>
          <w:szCs w:val="22"/>
          <w:color w:val="auto"/>
        </w:rPr>
        <w:t>, a Texas professional association (hereinafter referred to as “Business Associate”). Covered Entity and Business Associate shall be collectively referred to herein as the “Parties”.</w:t>
      </w:r>
    </w:p>
    <w:p>
      <w:pPr>
        <w:spacing w:after="0" w:line="17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22"/>
          <w:szCs w:val="22"/>
          <w:color w:val="auto"/>
        </w:rPr>
        <w:t>WHEREAS, Covered Entity is entering into a business relationship with Business Associate that is memorialized in that certain Amended and Restated Pathology Services Agreement (the “Underlying Agreement”) entered into as of even date herewith pursuant to which Business Associate may be considered a “business associate” of Covered Entity as defined in the Health Insurance Portability and Accountability Act of 1996 (“HIPAA”) including all pertinent regulations (45 CFR Parts 160 and 64) issued by the U.S. Department of Health and Human Services as either have been amended by Subtitle D of the Health Information Technology for Economic and Clinical Health Act (the “HITECH Act”), as Title XIII of Division A and Title IV of Division B of the American Recovery and Reinvestment Act of 2009 (Pub. L. 111-5);</w:t>
      </w:r>
    </w:p>
    <w:p>
      <w:pPr>
        <w:spacing w:after="0" w:line="186"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WHEREAS, the nature of the prospective contractual relationship between Covered Entity and Business Associate may involve the exchange of Protected Health Information (“PHI”) as that term is defined under HIPAA; and</w:t>
      </w:r>
    </w:p>
    <w:p>
      <w:pPr>
        <w:spacing w:after="0" w:line="159"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For good and lawful consideration as set forth in the Underlying Agreement, Covered Entity and Business Associate enter into this agreement for the purpose of ensuring compliance with the requirements of HIPAA, its implementing regulations, the HITECH Act and relevant State law.</w:t>
      </w:r>
    </w:p>
    <w:p>
      <w:pPr>
        <w:spacing w:after="0" w:line="175"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NOW THEREFORE, the premises having been considered and with acknowledgment of the mutual promises and of other good and valuable consideration herein contained, the Parties, intending to be legally bound, hereby agree as follows: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w:t>
      </w:r>
    </w:p>
    <w:p>
      <w:pPr>
        <w:spacing w:after="0" w:line="264" w:lineRule="exact"/>
        <w:rPr>
          <w:sz w:val="20"/>
          <w:szCs w:val="20"/>
          <w:color w:val="auto"/>
        </w:rPr>
      </w:pPr>
    </w:p>
    <w:p>
      <w:pPr>
        <w:jc w:val="both"/>
        <w:ind w:right="20" w:firstLine="648"/>
        <w:spacing w:after="0" w:line="309" w:lineRule="auto"/>
        <w:rPr>
          <w:sz w:val="20"/>
          <w:szCs w:val="20"/>
          <w:color w:val="auto"/>
        </w:rPr>
      </w:pPr>
      <w:r>
        <w:rPr>
          <w:rFonts w:ascii="Times New Roman" w:cs="Times New Roman" w:eastAsia="Times New Roman" w:hAnsi="Times New Roman"/>
          <w:sz w:val="22"/>
          <w:szCs w:val="22"/>
          <w:u w:val="single" w:color="auto"/>
          <w:color w:val="auto"/>
        </w:rPr>
        <w:t>Individual</w:t>
      </w:r>
      <w:r>
        <w:rPr>
          <w:rFonts w:ascii="Times New Roman" w:cs="Times New Roman" w:eastAsia="Times New Roman" w:hAnsi="Times New Roman"/>
          <w:sz w:val="22"/>
          <w:szCs w:val="22"/>
          <w:color w:val="auto"/>
        </w:rPr>
        <w:t>. “Individual” shall have the same meaning as the term “individual” in 45 CFR §164.501 and shall include a person who qualifies as a personal representative in accordance with 45 CFR §164.502(g).</w:t>
      </w:r>
    </w:p>
    <w:p>
      <w:pPr>
        <w:spacing w:after="0" w:line="159"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u w:val="single" w:color="auto"/>
          <w:color w:val="auto"/>
        </w:rPr>
        <w:t>Breach</w:t>
      </w:r>
      <w:r>
        <w:rPr>
          <w:rFonts w:ascii="Times New Roman" w:cs="Times New Roman" w:eastAsia="Times New Roman" w:hAnsi="Times New Roman"/>
          <w:sz w:val="22"/>
          <w:szCs w:val="22"/>
          <w:color w:val="auto"/>
        </w:rPr>
        <w:t>. “Breach” shall have the same meaning as the term “breach” in § 13400 of the HITECH Act and shall include the unauthorized acquisition, access, use, or disclosure of PHI that compromises the security or privacy of such information.</w:t>
      </w:r>
    </w:p>
    <w:p>
      <w:pPr>
        <w:spacing w:after="0" w:line="159"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u w:val="single" w:color="auto"/>
          <w:color w:val="auto"/>
        </w:rPr>
        <w:t>Designated Record Set</w:t>
      </w:r>
      <w:r>
        <w:rPr>
          <w:rFonts w:ascii="Times New Roman" w:cs="Times New Roman" w:eastAsia="Times New Roman" w:hAnsi="Times New Roman"/>
          <w:sz w:val="22"/>
          <w:szCs w:val="22"/>
          <w:color w:val="auto"/>
        </w:rPr>
        <w:t>. “Designated Record Set” shall have the same meaning as the term “designated record set” in 45 CFR §164.501.</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G-1</w:t>
      </w:r>
    </w:p>
    <w:p>
      <w:pPr>
        <w:sectPr>
          <w:pgSz w:w="11900" w:h="16838" w:orient="portrait"/>
          <w:cols w:equalWidth="0" w:num="1">
            <w:col w:w="11420"/>
          </w:cols>
          <w:pgMar w:left="240" w:top="391" w:right="239" w:bottom="1440" w:gutter="0" w:footer="0" w:header="0"/>
        </w:sectPr>
      </w:pPr>
    </w:p>
    <w:bookmarkStart w:id="77" w:name="page78"/>
    <w:bookmarkEnd w:id="77"/>
    <w:p>
      <w:pPr>
        <w:jc w:val="both"/>
        <w:ind w:firstLine="648"/>
        <w:spacing w:after="0" w:line="288" w:lineRule="auto"/>
        <w:rPr>
          <w:sz w:val="20"/>
          <w:szCs w:val="20"/>
          <w:color w:val="auto"/>
        </w:rPr>
      </w:pPr>
      <w:r>
        <w:rPr>
          <w:rFonts w:ascii="Times New Roman" w:cs="Times New Roman" w:eastAsia="Times New Roman" w:hAnsi="Times New Roman"/>
          <w:sz w:val="22"/>
          <w:szCs w:val="22"/>
          <w:u w:val="single" w:color="auto"/>
          <w:color w:val="auto"/>
        </w:rPr>
        <w:t>Privacy Rule</w:t>
      </w:r>
      <w:r>
        <w:rPr>
          <w:rFonts w:ascii="Times New Roman" w:cs="Times New Roman" w:eastAsia="Times New Roman" w:hAnsi="Times New Roman"/>
          <w:sz w:val="22"/>
          <w:szCs w:val="22"/>
          <w:color w:val="auto"/>
        </w:rPr>
        <w:t>. “Privacy Rule” shall mean the Standards for Privacy of Individually Identifiable Health Information at 45 CFR Part 160 and Part 164, Subparts A and E, as amended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the HITECH Act and as may otherwise be amended from time to time.</w:t>
      </w:r>
    </w:p>
    <w:p>
      <w:pPr>
        <w:spacing w:after="0" w:line="200" w:lineRule="exact"/>
        <w:rPr>
          <w:sz w:val="20"/>
          <w:szCs w:val="20"/>
          <w:color w:val="auto"/>
        </w:rPr>
      </w:pPr>
    </w:p>
    <w:p>
      <w:pPr>
        <w:spacing w:after="0" w:line="344"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u w:val="single" w:color="auto"/>
          <w:color w:val="auto"/>
        </w:rPr>
        <w:t>Protected Health Information</w:t>
      </w:r>
      <w:r>
        <w:rPr>
          <w:rFonts w:ascii="Times New Roman" w:cs="Times New Roman" w:eastAsia="Times New Roman" w:hAnsi="Times New Roman"/>
          <w:sz w:val="22"/>
          <w:szCs w:val="22"/>
          <w:color w:val="auto"/>
        </w:rPr>
        <w:t>. “Protected Health Information” or “PHI” shall have the same meaning as the term “protected health information” in 45 CFR §164.501, limited to the information created or received by Business Associate from or on behalf of Covered Entity.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Required by Law</w:t>
      </w:r>
      <w:r>
        <w:rPr>
          <w:rFonts w:ascii="Times New Roman" w:cs="Times New Roman" w:eastAsia="Times New Roman" w:hAnsi="Times New Roman"/>
          <w:sz w:val="22"/>
          <w:szCs w:val="22"/>
          <w:color w:val="auto"/>
        </w:rPr>
        <w:t>. “Required by Law” shall have the same meaning as the term “required by law” in 45 CFR §164.501.</w:t>
      </w:r>
    </w:p>
    <w:p>
      <w:pPr>
        <w:spacing w:after="0" w:line="247"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u w:val="single" w:color="auto"/>
          <w:color w:val="auto"/>
        </w:rPr>
        <w:t>Secretary</w:t>
      </w:r>
      <w:r>
        <w:rPr>
          <w:rFonts w:ascii="Times New Roman" w:cs="Times New Roman" w:eastAsia="Times New Roman" w:hAnsi="Times New Roman"/>
          <w:sz w:val="22"/>
          <w:szCs w:val="22"/>
          <w:color w:val="auto"/>
        </w:rPr>
        <w:t>. “Secretary” shall mean the Secretary of the U.S. Department of Health and Human Services or his or her designee.</w:t>
      </w:r>
    </w:p>
    <w:p>
      <w:pPr>
        <w:spacing w:after="0" w:line="159"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2"/>
          <w:szCs w:val="22"/>
          <w:u w:val="single" w:color="auto"/>
          <w:color w:val="auto"/>
        </w:rPr>
        <w:t>Security Rule</w:t>
      </w:r>
      <w:r>
        <w:rPr>
          <w:rFonts w:ascii="Times New Roman" w:cs="Times New Roman" w:eastAsia="Times New Roman" w:hAnsi="Times New Roman"/>
          <w:sz w:val="22"/>
          <w:szCs w:val="22"/>
          <w:color w:val="auto"/>
        </w:rPr>
        <w:t>. The “Security Rule” shall mean the regulations found at 45 CFR Parts 160 and 164, Subpart C, as may be amended from time to time.</w:t>
      </w:r>
    </w:p>
    <w:p>
      <w:pPr>
        <w:spacing w:after="0" w:line="157"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u w:val="single" w:color="auto"/>
          <w:color w:val="auto"/>
        </w:rPr>
        <w:t>Unsecured Protected Health Information</w:t>
      </w:r>
      <w:r>
        <w:rPr>
          <w:rFonts w:ascii="Times New Roman" w:cs="Times New Roman" w:eastAsia="Times New Roman" w:hAnsi="Times New Roman"/>
          <w:sz w:val="22"/>
          <w:szCs w:val="22"/>
          <w:color w:val="auto"/>
        </w:rPr>
        <w:t>. “Unsecured Protected Health Information” or “Unsecured PHI” shall mean PHI that is not secured through the use of a technology or methodology specified by the Secretary in guidance or as otherwise defined in the §13402(h) of the HITECH Act.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USE OR DISCLOSURE OF PHI BY BUSINESS ASSOCIATE.</w:t>
      </w:r>
    </w:p>
    <w:p>
      <w:pPr>
        <w:spacing w:after="0" w:line="251"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Except as otherwise limited in this Agreement, Business Associate may use or disclose Protected Health Information to perform functions, activities, or services for, or on behalf of, Covered Entity as specified in the Underlying Agreement, provided that such use or disclosure would not violate the Privacy Rule.</w:t>
      </w:r>
    </w:p>
    <w:p>
      <w:pPr>
        <w:spacing w:after="0" w:line="175" w:lineRule="exact"/>
        <w:rPr>
          <w:sz w:val="20"/>
          <w:szCs w:val="20"/>
          <w:color w:val="auto"/>
        </w:rPr>
      </w:pPr>
    </w:p>
    <w:p>
      <w:pPr>
        <w:jc w:val="both"/>
        <w:ind w:right="20" w:firstLine="648"/>
        <w:spacing w:after="0" w:line="309" w:lineRule="auto"/>
        <w:rPr>
          <w:sz w:val="20"/>
          <w:szCs w:val="20"/>
          <w:color w:val="auto"/>
        </w:rPr>
      </w:pPr>
      <w:r>
        <w:rPr>
          <w:rFonts w:ascii="Times New Roman" w:cs="Times New Roman" w:eastAsia="Times New Roman" w:hAnsi="Times New Roman"/>
          <w:sz w:val="22"/>
          <w:szCs w:val="22"/>
          <w:color w:val="auto"/>
        </w:rPr>
        <w:t>Business Associate shall only use and disclose PHI if such use or disclosure complies with each applicable requirement of 45 CFR §164.504(e).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DUTIES OF BUSINESS ASSOCIATE RELATIVE TO PHI.</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Business Associate shall not use or disclose PHI other than as permitted or required by this Agreement or as Required by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Law.</w:t>
      </w:r>
    </w:p>
    <w:p>
      <w:pPr>
        <w:spacing w:after="0" w:line="260"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22"/>
          <w:szCs w:val="22"/>
          <w:color w:val="auto"/>
        </w:rPr>
        <w:t>Business Associate shall be directly responsible for full compliance with the relevant requirements of the Privacy Rule to the same extent as Covered Entity.</w:t>
      </w:r>
    </w:p>
    <w:p>
      <w:pPr>
        <w:spacing w:after="0" w:line="157"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Business Associate shall comply with the provisions of the Security Rule directing the implementation of administrative, physical and technical safeguards for electronic-PHI (“e-PHI”) and the development and enforcement of related policies, procedures, and documentation standards (including but not limited to designation of a security official).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G-2</w:t>
      </w:r>
    </w:p>
    <w:p>
      <w:pPr>
        <w:sectPr>
          <w:pgSz w:w="11900" w:h="16838" w:orient="portrait"/>
          <w:cols w:equalWidth="0" w:num="1">
            <w:col w:w="11420"/>
          </w:cols>
          <w:pgMar w:left="240" w:top="598" w:right="239" w:bottom="1440" w:gutter="0" w:footer="0" w:header="0"/>
        </w:sectPr>
      </w:pPr>
    </w:p>
    <w:bookmarkStart w:id="78" w:name="page79"/>
    <w:bookmarkEnd w:id="78"/>
    <w:p>
      <w:pPr>
        <w:jc w:val="both"/>
        <w:ind w:right="20" w:firstLine="648"/>
        <w:spacing w:after="0" w:line="297" w:lineRule="auto"/>
        <w:rPr>
          <w:sz w:val="20"/>
          <w:szCs w:val="20"/>
          <w:color w:val="auto"/>
        </w:rPr>
      </w:pPr>
      <w:r>
        <w:rPr>
          <w:rFonts w:ascii="Times New Roman" w:cs="Times New Roman" w:eastAsia="Times New Roman" w:hAnsi="Times New Roman"/>
          <w:sz w:val="22"/>
          <w:szCs w:val="22"/>
          <w:color w:val="auto"/>
        </w:rPr>
        <w:t>In the event of an unauthorized use or disclosure of PHI or a Breach of Unsecured PHI, Business Associate shall mitigate, to the extent practicable, any harmful effects of said disclosure that are known to it.</w:t>
      </w:r>
    </w:p>
    <w:p>
      <w:pPr>
        <w:spacing w:after="0" w:line="157"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Business Associate agrees to ensure that any agent, including a subcontractor, to whom it provides Protected Health Information received from, or created or received by Business Associate on behalf of Covered Entity, agrees to the same restrictions and conditions that apply through this Agreement to Business Associate with respect to such information.</w:t>
      </w:r>
    </w:p>
    <w:p>
      <w:pPr>
        <w:spacing w:after="0" w:line="175"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To the extent applicable, Business Associate shall provide access to Protected Health Information in a Designated Record Set at reasonable times, at the request of Covered Entity or, as directed by Covered Entity, to an Individual in order to meet the requirements under 45 CFR §164.524.</w:t>
      </w:r>
    </w:p>
    <w:p>
      <w:pPr>
        <w:spacing w:after="0" w:line="175"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Business Associate will, upon receipt of written notice from Covered Entity, promptly amend or permit Covered Entity access to amend any portion of Covered Entity’s PHI so that Covered Entity may meet its amendment obligations under 45 CFR §164.526.</w:t>
      </w:r>
    </w:p>
    <w:p>
      <w:pPr>
        <w:spacing w:after="0" w:line="175" w:lineRule="exact"/>
        <w:rPr>
          <w:sz w:val="20"/>
          <w:szCs w:val="20"/>
          <w:color w:val="auto"/>
        </w:rPr>
      </w:pPr>
    </w:p>
    <w:p>
      <w:pPr>
        <w:jc w:val="both"/>
        <w:ind w:right="20" w:firstLine="648"/>
        <w:spacing w:after="0" w:line="309" w:lineRule="auto"/>
        <w:rPr>
          <w:sz w:val="20"/>
          <w:szCs w:val="20"/>
          <w:color w:val="auto"/>
        </w:rPr>
      </w:pPr>
      <w:r>
        <w:rPr>
          <w:rFonts w:ascii="Times New Roman" w:cs="Times New Roman" w:eastAsia="Times New Roman" w:hAnsi="Times New Roman"/>
          <w:sz w:val="22"/>
          <w:szCs w:val="22"/>
          <w:color w:val="auto"/>
        </w:rPr>
        <w:t>Business Associate shall, upon request with reasonable notice, provide Covered Entity access to its premises for a review and demonstration of its internal practices and procedures for safeguarding PHI.</w:t>
      </w:r>
    </w:p>
    <w:p>
      <w:pPr>
        <w:spacing w:after="0" w:line="159"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color w:val="auto"/>
        </w:rPr>
        <w:t>Business Associate agrees to document such disclosures of PHI and information related to such disclosures as would be required for a Covered Entity to respond to a request by an Individual for an accounting of disclosures of PHI in accordance with 45 C.F.R. §164.528. Should an Individual make a request to Covered Entity for an accounting of disclosures of his or her PHI pursuant to 45 C.F.R. §164.528, Business Associate agrees to promptly provide Covered Entity with information in a format and manner sufficient to respond to the Individual’s request.</w:t>
      </w:r>
    </w:p>
    <w:p>
      <w:pPr>
        <w:spacing w:after="0" w:line="184"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2"/>
          <w:szCs w:val="22"/>
          <w:color w:val="auto"/>
        </w:rPr>
        <w:t>Business Associate shall, upon request with reasonable notice, provide Covered Entity with an accounting of uses and disclosures of PHI provided to it by Covered Entity.</w:t>
      </w:r>
    </w:p>
    <w:p>
      <w:pPr>
        <w:spacing w:after="0" w:line="157"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Business Associate shall make its internal practices, books, records, and any other material requested by the Secretary relating to the use, disclosure, and safeguarding of PHI received from Covered Entity available to the Secretary for the purpose of determining compliance with the Privacy Rule. The aforementioned information shall be made available to the Secretary in the manner and place as designated by the Secretary or the Secretary’s duly appointed delegate. Under this Agreement, Business Associate shall comply and cooperate with any request for documents or other information from the Secretary directed to Covered Entity that seeks documents or other information held by Business Associate.</w:t>
      </w:r>
    </w:p>
    <w:p>
      <w:pPr>
        <w:spacing w:after="0" w:line="184"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22"/>
          <w:szCs w:val="22"/>
          <w:color w:val="auto"/>
        </w:rPr>
        <w:t>Business Associate may use Protected Health Information to report violations of law to appropriate Federal and State authorities, consistent with 42 C.F.R. §164.502(j)(1).</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G-3</w:t>
      </w:r>
    </w:p>
    <w:p>
      <w:pPr>
        <w:sectPr>
          <w:pgSz w:w="11900" w:h="16838" w:orient="portrait"/>
          <w:cols w:equalWidth="0" w:num="1">
            <w:col w:w="11420"/>
          </w:cols>
          <w:pgMar w:left="240" w:top="598" w:right="239" w:bottom="1440" w:gutter="0" w:footer="0" w:header="0"/>
        </w:sectPr>
      </w:pPr>
    </w:p>
    <w:bookmarkStart w:id="79" w:name="page80"/>
    <w:bookmarkEnd w:id="79"/>
    <w:p>
      <w:pPr>
        <w:jc w:val="both"/>
        <w:ind w:firstLine="648"/>
        <w:spacing w:after="0" w:line="288" w:lineRule="auto"/>
        <w:rPr>
          <w:sz w:val="20"/>
          <w:szCs w:val="20"/>
          <w:color w:val="auto"/>
        </w:rPr>
      </w:pPr>
      <w:r>
        <w:rPr>
          <w:rFonts w:ascii="Times New Roman" w:cs="Times New Roman" w:eastAsia="Times New Roman" w:hAnsi="Times New Roman"/>
          <w:sz w:val="22"/>
          <w:szCs w:val="22"/>
          <w:color w:val="auto"/>
        </w:rPr>
        <w:t>Except as otherwise limited in this Agreement, Business Associate may disclose PHI for the proper management and administration of Business Associate, provided that disclosures are Required by Law, or Business Associate obtains reasonable assurances from the person to whom the information is disclosed that it will remain confidential and used or further disclosed only as Required by Law or for the purpose for which it was disclosed to the person, and the person notifies Business Associate of any instances of which it is aware in which the confidentiality of the information has been breached.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REPORTING.</w:t>
      </w:r>
    </w:p>
    <w:p>
      <w:pPr>
        <w:spacing w:after="0" w:line="264" w:lineRule="exact"/>
        <w:rPr>
          <w:sz w:val="20"/>
          <w:szCs w:val="20"/>
          <w:color w:val="auto"/>
        </w:rPr>
      </w:pPr>
    </w:p>
    <w:p>
      <w:pPr>
        <w:jc w:val="both"/>
        <w:ind w:firstLine="656"/>
        <w:spacing w:after="0" w:line="284" w:lineRule="auto"/>
        <w:tabs>
          <w:tab w:leader="none" w:pos="108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Privacy Breach</w:t>
      </w:r>
      <w:r>
        <w:rPr>
          <w:rFonts w:ascii="Times New Roman" w:cs="Times New Roman" w:eastAsia="Times New Roman" w:hAnsi="Times New Roman"/>
          <w:sz w:val="22"/>
          <w:szCs w:val="22"/>
          <w:color w:val="auto"/>
        </w:rPr>
        <w:t xml:space="preserve">. Business Associate will report to Covered Entity any use or disclosure of Covered Entity’s PHI that is not permitted by this Agreement or the Underlying Agreement. In addition, Business Associate will report to Covered Entity, following discovery and without reasonable delay, but in no event later than ten (10) days following discovery, any suspected or actual “Breach” of “Unsecured Protected Health Information” as these terms are defined by the HITECH Act and any implementing regulations. Business Associate shall cooperate with Covered Entity in investigating the potential or actual breach and in meeting Covered Entity’s obligations under the HITECH Act and any other state or federal privacy or security breach notification laws. Any such report shall contain at a minimum the information set forth on </w:t>
      </w:r>
      <w:r>
        <w:rPr>
          <w:rFonts w:ascii="Times New Roman" w:cs="Times New Roman" w:eastAsia="Times New Roman" w:hAnsi="Times New Roman"/>
          <w:sz w:val="22"/>
          <w:szCs w:val="22"/>
          <w:u w:val="single" w:color="auto"/>
          <w:color w:val="auto"/>
        </w:rPr>
        <w:t>Attachment A</w:t>
      </w:r>
      <w:r>
        <w:rPr>
          <w:rFonts w:ascii="Times New Roman" w:cs="Times New Roman" w:eastAsia="Times New Roman" w:hAnsi="Times New Roman"/>
          <w:sz w:val="22"/>
          <w:szCs w:val="22"/>
          <w:color w:val="auto"/>
        </w:rPr>
        <w:t xml:space="preserve"> attached hereto and incorporated by reference. Since time is of the essence under the HITECH Act, in addition to providing the report in accordance with the notice provisions contained in Section XI below, a copy of the report shall be faxed to the Privacy Officer at (615)695-8426 or to such other person as Covered Entity shall request in writing of Business Associate.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TERM AND TERMINATION</w:t>
      </w:r>
      <w:r>
        <w:rPr>
          <w:rFonts w:ascii="Times New Roman" w:cs="Times New Roman" w:eastAsia="Times New Roman" w:hAnsi="Times New Roman"/>
          <w:sz w:val="22"/>
          <w:szCs w:val="22"/>
          <w:color w:val="auto"/>
        </w:rPr>
        <w:t>.</w:t>
      </w:r>
    </w:p>
    <w:p>
      <w:pPr>
        <w:spacing w:after="0" w:line="264"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Term of this Agreement shall be effective as of the date the Underlying Agreement is effective, and shall terminate when all of the Protected Health Information provided by Covered Entity to Business Associate, or created or received by Business Associate on behalf of Covered Entity, is destroyed or returned to Covered Entity, or, if it is infeasible to return or destroy Protected Health Information, protections are extended to such information, in accordance with the termination provisions in this Section V.</w:t>
      </w:r>
    </w:p>
    <w:p>
      <w:pPr>
        <w:spacing w:after="0" w:line="184" w:lineRule="exact"/>
        <w:rPr>
          <w:sz w:val="20"/>
          <w:szCs w:val="20"/>
          <w:color w:val="auto"/>
        </w:rPr>
      </w:pPr>
    </w:p>
    <w:p>
      <w:pPr>
        <w:ind w:left="1100" w:hanging="444"/>
        <w:spacing w:after="0"/>
        <w:tabs>
          <w:tab w:leader="none" w:pos="110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for Cause</w:t>
      </w:r>
      <w:r>
        <w:rPr>
          <w:rFonts w:ascii="Times New Roman" w:cs="Times New Roman" w:eastAsia="Times New Roman" w:hAnsi="Times New Roman"/>
          <w:sz w:val="21"/>
          <w:szCs w:val="21"/>
          <w:color w:val="auto"/>
        </w:rPr>
        <w:t>. Upon Covered Entity’s knowledge of a material breach by Business Associate, Covered Entity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shall:</w:t>
      </w:r>
    </w:p>
    <w:p>
      <w:pPr>
        <w:spacing w:after="0" w:line="256" w:lineRule="exact"/>
        <w:rPr>
          <w:sz w:val="20"/>
          <w:szCs w:val="20"/>
          <w:color w:val="auto"/>
        </w:rPr>
      </w:pPr>
    </w:p>
    <w:p>
      <w:pPr>
        <w:jc w:val="both"/>
        <w:ind w:firstLine="1297"/>
        <w:spacing w:after="0" w:line="297" w:lineRule="auto"/>
        <w:rPr>
          <w:sz w:val="20"/>
          <w:szCs w:val="20"/>
          <w:color w:val="auto"/>
        </w:rPr>
      </w:pPr>
      <w:r>
        <w:rPr>
          <w:rFonts w:ascii="Times New Roman" w:cs="Times New Roman" w:eastAsia="Times New Roman" w:hAnsi="Times New Roman"/>
          <w:sz w:val="22"/>
          <w:szCs w:val="22"/>
          <w:b w:val="1"/>
          <w:bCs w:val="1"/>
          <w:color w:val="auto"/>
        </w:rPr>
        <w:t>Provide a reasonable opportunity for Business Associate to cure the breach or end the violation and, if Business Associate does not cure the breach or end the violation within the reasonable time specified by Covered Entity, terminate this Agreement;</w:t>
      </w:r>
    </w:p>
    <w:p>
      <w:pPr>
        <w:spacing w:after="0" w:line="168" w:lineRule="exact"/>
        <w:rPr>
          <w:sz w:val="20"/>
          <w:szCs w:val="20"/>
          <w:color w:val="auto"/>
        </w:rPr>
      </w:pPr>
    </w:p>
    <w:p>
      <w:pPr>
        <w:jc w:val="both"/>
        <w:ind w:firstLine="1297"/>
        <w:spacing w:after="0" w:line="313" w:lineRule="auto"/>
        <w:rPr>
          <w:sz w:val="20"/>
          <w:szCs w:val="20"/>
          <w:color w:val="auto"/>
        </w:rPr>
      </w:pPr>
      <w:r>
        <w:rPr>
          <w:rFonts w:ascii="Times New Roman" w:cs="Times New Roman" w:eastAsia="Times New Roman" w:hAnsi="Times New Roman"/>
          <w:sz w:val="22"/>
          <w:szCs w:val="22"/>
          <w:b w:val="1"/>
          <w:bCs w:val="1"/>
          <w:color w:val="auto"/>
        </w:rPr>
        <w:t>Immediately terminate this Agreement if Business Associate has breached a material term of this Agreement and cure is not possible; or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G-4</w:t>
      </w:r>
    </w:p>
    <w:p>
      <w:pPr>
        <w:sectPr>
          <w:pgSz w:w="11900" w:h="16838" w:orient="portrait"/>
          <w:cols w:equalWidth="0" w:num="1">
            <w:col w:w="11420"/>
          </w:cols>
          <w:pgMar w:left="240" w:top="598" w:right="239" w:bottom="1440" w:gutter="0" w:footer="0" w:header="0"/>
        </w:sectPr>
      </w:pPr>
    </w:p>
    <w:bookmarkStart w:id="80" w:name="page81"/>
    <w:bookmarkEnd w:id="80"/>
    <w:p>
      <w:pPr>
        <w:ind w:left="1300"/>
        <w:spacing w:after="0"/>
        <w:rPr>
          <w:sz w:val="20"/>
          <w:szCs w:val="20"/>
          <w:color w:val="auto"/>
        </w:rPr>
      </w:pPr>
      <w:r>
        <w:rPr>
          <w:rFonts w:ascii="Times New Roman" w:cs="Times New Roman" w:eastAsia="Times New Roman" w:hAnsi="Times New Roman"/>
          <w:sz w:val="22"/>
          <w:szCs w:val="22"/>
          <w:b w:val="1"/>
          <w:bCs w:val="1"/>
          <w:color w:val="auto"/>
        </w:rPr>
        <w:t xml:space="preserve">If neither termination nor cure is feasible, report the violation to the Secretary. </w:t>
      </w:r>
      <w:r>
        <w:rPr>
          <w:rFonts w:ascii="Times New Roman" w:cs="Times New Roman" w:eastAsia="Times New Roman" w:hAnsi="Times New Roman"/>
          <w:sz w:val="22"/>
          <w:szCs w:val="22"/>
          <w:u w:val="single" w:color="auto"/>
          <w:color w:val="auto"/>
        </w:rPr>
        <w:t>Effect of Termination</w:t>
      </w:r>
      <w:r>
        <w:rPr>
          <w:rFonts w:ascii="Times New Roman" w:cs="Times New Roman" w:eastAsia="Times New Roman" w:hAnsi="Times New Roman"/>
          <w:sz w:val="22"/>
          <w:szCs w:val="22"/>
          <w:color w:val="auto"/>
        </w:rPr>
        <w:t>.</w:t>
      </w:r>
    </w:p>
    <w:p>
      <w:pPr>
        <w:spacing w:after="0" w:line="382"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Except as provided in paragraph C(2) of this section, upon termination of this Agreement, for any reason, Business Associate shall return or destroy (at Covered Entity’s sole discretion) all Protected Health Information received from Covered Entity, or created or received by Business Associate on behalf of Covered Entity. This provision shall apply to Protected Health Information that is in the possession of subcontractors or agents of Business Associate. Business Associate shall not retain any copies of the Protected Health Information. Any information that is in electronic format shall be provided to Covered Entity at no additional charge. The format to be provided should be one that is commonly used for export (i.e., comma delimited, text file, Word, Excel or Access database) that is agreeable to Covered Entity.</w:t>
      </w:r>
    </w:p>
    <w:p>
      <w:pPr>
        <w:spacing w:after="0" w:line="178" w:lineRule="exact"/>
        <w:rPr>
          <w:sz w:val="20"/>
          <w:szCs w:val="20"/>
          <w:color w:val="auto"/>
        </w:rPr>
      </w:pPr>
    </w:p>
    <w:p>
      <w:pPr>
        <w:jc w:val="both"/>
        <w:ind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In the event that Business Associate determines that returning or destroying the Protected Health Information is infeasible, Business Associate shall provide to Covered Entity written notification of the conditions that make return or destruction infeasible. After written notification that return or destruction of Protected Health Information is infeasible, Business Associate shall extend the protections of this Agreement to such Protected Health Information and limit further uses and disclosures of such Protected Health Information to those purposes that make the return or destruction infeasible, for so long as Business Associate maintains such Protected Health Information.</w:t>
      </w:r>
    </w:p>
    <w:p>
      <w:pPr>
        <w:spacing w:after="0" w:line="177" w:lineRule="exact"/>
        <w:rPr>
          <w:sz w:val="20"/>
          <w:szCs w:val="20"/>
          <w:color w:val="auto"/>
        </w:rPr>
      </w:pPr>
    </w:p>
    <w:p>
      <w:pPr>
        <w:jc w:val="both"/>
        <w:ind w:firstLine="1297"/>
        <w:spacing w:after="0" w:line="297" w:lineRule="auto"/>
        <w:rPr>
          <w:sz w:val="20"/>
          <w:szCs w:val="20"/>
          <w:color w:val="auto"/>
        </w:rPr>
      </w:pPr>
      <w:r>
        <w:rPr>
          <w:rFonts w:ascii="Times New Roman" w:cs="Times New Roman" w:eastAsia="Times New Roman" w:hAnsi="Times New Roman"/>
          <w:sz w:val="22"/>
          <w:szCs w:val="22"/>
          <w:b w:val="1"/>
          <w:bCs w:val="1"/>
          <w:color w:val="auto"/>
        </w:rPr>
        <w:t>Should Business Associate make a disclosure of PHI in violation of this Agreement, Covered Entity shall have the right to immediately terminate any contract, other than this Agreement, then in force between the Parties, including the Underlying Agreement.</w:t>
      </w:r>
    </w:p>
    <w:p>
      <w:pPr>
        <w:spacing w:after="0" w:line="1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2"/>
          <w:szCs w:val="22"/>
          <w:b w:val="1"/>
          <w:bCs w:val="1"/>
          <w:color w:val="auto"/>
        </w:rPr>
        <w:t>REMEDIES IN EVENT OF BREACH AND INDEMNIFICATION</w:t>
      </w:r>
      <w:r>
        <w:rPr>
          <w:rFonts w:ascii="Times New Roman" w:cs="Times New Roman" w:eastAsia="Times New Roman" w:hAnsi="Times New Roman"/>
          <w:sz w:val="22"/>
          <w:szCs w:val="22"/>
          <w:color w:val="auto"/>
        </w:rPr>
        <w:t>. Business Associate hereby recognizes that irreparable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harm may result to Covered Entity, and to the business of Covered Entity, in the event of breach by Business Associate of any of the covenants and assurances contained in this Agreement. As such, in the event of breach of any of the covenants and assurances contained in Sections II, III or IV above, Covered Entity shall be entitled to enjoin and restrain Business Associate from any continued violation of Sections II, III or IV. Furthermore, Business Associate will indemnify, defend and hold harmless Covered Entity, its officers, directors, employees, agents, and assigns, from and against any and all losses, liabilities, damages, costs, and expenses (including reasonable attorneys’ fees) arising out of or related to the Business Associate’s breach of its obligations under this Agreement.</w:t>
      </w:r>
    </w:p>
    <w:p>
      <w:pPr>
        <w:spacing w:after="0" w:line="18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2"/>
          <w:szCs w:val="22"/>
          <w:b w:val="1"/>
          <w:bCs w:val="1"/>
          <w:color w:val="auto"/>
        </w:rPr>
        <w:t>MODIFICATION</w:t>
      </w:r>
      <w:r>
        <w:rPr>
          <w:rFonts w:ascii="Times New Roman" w:cs="Times New Roman" w:eastAsia="Times New Roman" w:hAnsi="Times New Roman"/>
          <w:sz w:val="22"/>
          <w:szCs w:val="22"/>
          <w:color w:val="auto"/>
        </w:rPr>
        <w:t>. This Agreement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only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modified through a writing signed by the Parties. The Parties agree to take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action as is necessary to amend this Agreement from time to time as is necessary for Covered Entity to comply with the requirements of the Privacy Rule and HIPAA.</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G-5</w:t>
      </w:r>
    </w:p>
    <w:p>
      <w:pPr>
        <w:sectPr>
          <w:pgSz w:w="11900" w:h="16838" w:orient="portrait"/>
          <w:cols w:equalWidth="0" w:num="1">
            <w:col w:w="11420"/>
          </w:cols>
          <w:pgMar w:left="240" w:top="513" w:right="239" w:bottom="1440" w:gutter="0" w:footer="0" w:header="0"/>
        </w:sectPr>
      </w:pPr>
    </w:p>
    <w:bookmarkStart w:id="81" w:name="page82"/>
    <w:bookmarkEnd w:id="81"/>
    <w:p>
      <w:pPr>
        <w:jc w:val="both"/>
        <w:spacing w:after="0" w:line="289" w:lineRule="auto"/>
        <w:rPr>
          <w:sz w:val="20"/>
          <w:szCs w:val="20"/>
          <w:color w:val="auto"/>
        </w:rPr>
      </w:pPr>
      <w:r>
        <w:rPr>
          <w:rFonts w:ascii="Times New Roman" w:cs="Times New Roman" w:eastAsia="Times New Roman" w:hAnsi="Times New Roman"/>
          <w:sz w:val="22"/>
          <w:szCs w:val="22"/>
          <w:b w:val="1"/>
          <w:bCs w:val="1"/>
          <w:color w:val="auto"/>
        </w:rPr>
        <w:t>INTERPRETATION OF THIS CONTRACT IN RELATION TO OTHER CONTRACTS BETWEEN THE PARTIES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Should there be any conflict between the language of this contract and any other contract entered into between the Parties (either previous or subsequent to the date of this Agreement), the language and provisions of this Agreement shall control and prevail unless the Parties specifically refer in a subsequent written agreement to this Agreement by its title and date and specifically state that the provisions of the later written agreement shall control over this Agreement.</w:t>
      </w:r>
    </w:p>
    <w:p>
      <w:pPr>
        <w:spacing w:after="0" w:line="17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2"/>
          <w:szCs w:val="22"/>
          <w:b w:val="1"/>
          <w:bCs w:val="1"/>
          <w:color w:val="auto"/>
        </w:rPr>
        <w:t>COMPLIANCE WITH STATE LAW</w:t>
      </w:r>
      <w:r>
        <w:rPr>
          <w:rFonts w:ascii="Times New Roman" w:cs="Times New Roman" w:eastAsia="Times New Roman" w:hAnsi="Times New Roman"/>
          <w:sz w:val="22"/>
          <w:szCs w:val="22"/>
          <w:color w:val="auto"/>
        </w:rPr>
        <w:t>. If the HIPAA Privacy or Security Rules and the law of the State in which Covered Entity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located conflict regarding the degree of protection provided for protected health information, Business Associate shall comply with the more restrictive protection requirement.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MISCELLANEOUS</w:t>
      </w:r>
      <w:r>
        <w:rPr>
          <w:rFonts w:ascii="Times New Roman" w:cs="Times New Roman" w:eastAsia="Times New Roman" w:hAnsi="Times New Roman"/>
          <w:sz w:val="22"/>
          <w:szCs w:val="22"/>
          <w:color w:val="auto"/>
        </w:rPr>
        <w:t>.</w:t>
      </w:r>
    </w:p>
    <w:p>
      <w:pPr>
        <w:spacing w:after="0" w:line="2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Ambiguity</w:t>
      </w:r>
      <w:r>
        <w:rPr>
          <w:rFonts w:ascii="Times New Roman" w:cs="Times New Roman" w:eastAsia="Times New Roman" w:hAnsi="Times New Roman"/>
          <w:sz w:val="22"/>
          <w:szCs w:val="22"/>
          <w:color w:val="auto"/>
        </w:rPr>
        <w:t>. Any ambiguity in this Agreement shall be resolved to permit Covered Entity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G-6</w:t>
      </w:r>
    </w:p>
    <w:p>
      <w:pPr>
        <w:sectPr>
          <w:pgSz w:w="11900" w:h="16838" w:orient="portrait"/>
          <w:cols w:equalWidth="0" w:num="1">
            <w:col w:w="11420"/>
          </w:cols>
          <w:pgMar w:left="240" w:top="594" w:right="2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2"/>
          <w:szCs w:val="22"/>
          <w:color w:val="auto"/>
        </w:rPr>
        <w:t>to comply with the Privacy Rule.</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u w:val="single" w:color="auto"/>
          <w:color w:val="auto"/>
        </w:rPr>
        <w:t>Notice to Covered Entity</w:t>
      </w:r>
      <w:r>
        <w:rPr>
          <w:rFonts w:ascii="Times New Roman" w:cs="Times New Roman" w:eastAsia="Times New Roman" w:hAnsi="Times New Roman"/>
          <w:sz w:val="21"/>
          <w:szCs w:val="21"/>
          <w:color w:val="auto"/>
        </w:rPr>
        <w:t>. Any notice required under this Agreement to be given Covered Entity shall be made in writing to:</w:t>
      </w:r>
    </w:p>
    <w:p>
      <w:pPr>
        <w:spacing w:after="0" w:line="2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Veracyte, Inc.</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6000 Shoreline Court, Suite 300</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South San Francisco, CA 94080</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Bonnie Anderson</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copy to:</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Fenwick &amp; West LLP</w:t>
      </w:r>
    </w:p>
    <w:p>
      <w:pPr>
        <w:spacing w:after="0" w:line="3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555 California St., 12</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San Francisco, CA 94104</w:t>
      </w:r>
    </w:p>
    <w:p>
      <w:pPr>
        <w:spacing w:after="0" w:line="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Doug Cogen</w:t>
      </w:r>
    </w:p>
    <w:p>
      <w:pPr>
        <w:spacing w:after="0" w:line="260" w:lineRule="exact"/>
        <w:rPr>
          <w:sz w:val="20"/>
          <w:szCs w:val="20"/>
          <w:color w:val="auto"/>
        </w:rPr>
      </w:pPr>
    </w:p>
    <w:p>
      <w:pPr>
        <w:ind w:firstLine="648"/>
        <w:spacing w:after="0" w:line="309" w:lineRule="auto"/>
        <w:rPr>
          <w:sz w:val="20"/>
          <w:szCs w:val="20"/>
          <w:color w:val="auto"/>
        </w:rPr>
      </w:pPr>
      <w:r>
        <w:rPr>
          <w:rFonts w:ascii="Times New Roman" w:cs="Times New Roman" w:eastAsia="Times New Roman" w:hAnsi="Times New Roman"/>
          <w:sz w:val="22"/>
          <w:szCs w:val="22"/>
          <w:u w:val="single" w:color="auto"/>
          <w:color w:val="auto"/>
        </w:rPr>
        <w:t>Notice to Business Associate</w:t>
      </w:r>
      <w:r>
        <w:rPr>
          <w:rFonts w:ascii="Times New Roman" w:cs="Times New Roman" w:eastAsia="Times New Roman" w:hAnsi="Times New Roman"/>
          <w:sz w:val="22"/>
          <w:szCs w:val="22"/>
          <w:color w:val="auto"/>
        </w:rPr>
        <w:t>. Any notice required under this Agreement to be given Business Associate shall be made in writing to:</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Thyroid Cytopathology Partners, P.A.</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12357 A Riata Trace Parkway</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Building 5, Ste 100</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Austin, Texas 78727</w:t>
      </w:r>
    </w:p>
    <w:p>
      <w:pPr>
        <w:spacing w:after="0" w:line="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Tom Traweek, M.D.</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copy to:</w:t>
      </w:r>
    </w:p>
    <w:p>
      <w:pPr>
        <w:spacing w:after="0" w:line="2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Rivas Goldstein, LLP</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7035 Bee Cave Road, Suite 200</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Austin, Texas 78746</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Dana Thompson</w:t>
      </w:r>
    </w:p>
    <w:p>
      <w:pPr>
        <w:spacing w:after="0" w:line="200" w:lineRule="exact"/>
        <w:rPr>
          <w:sz w:val="20"/>
          <w:szCs w:val="20"/>
          <w:color w:val="auto"/>
        </w:rPr>
      </w:pPr>
    </w:p>
    <w:p>
      <w:pPr>
        <w:spacing w:after="0" w:line="2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IN WITNESS WHEREOF and acknowledging acceptance and agreement of the foregoing, the Parties affix their signatures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hereto.</w:t>
      </w:r>
    </w:p>
    <w:p>
      <w:pPr>
        <w:spacing w:after="0" w:line="260" w:lineRule="exact"/>
        <w:rPr>
          <w:sz w:val="20"/>
          <w:szCs w:val="20"/>
          <w:color w:val="auto"/>
        </w:rPr>
      </w:pPr>
    </w:p>
    <w:p>
      <w:pPr>
        <w:spacing w:after="0"/>
        <w:tabs>
          <w:tab w:leader="none" w:pos="2100" w:val="left"/>
        </w:tabs>
        <w:rPr>
          <w:sz w:val="20"/>
          <w:szCs w:val="20"/>
          <w:color w:val="auto"/>
        </w:rPr>
      </w:pPr>
      <w:r>
        <w:rPr>
          <w:rFonts w:ascii="Times New Roman" w:cs="Times New Roman" w:eastAsia="Times New Roman" w:hAnsi="Times New Roman"/>
          <w:sz w:val="22"/>
          <w:szCs w:val="22"/>
          <w:color w:val="auto"/>
        </w:rPr>
        <w:t>COVERED ENTITY:</w:t>
      </w:r>
      <w:r>
        <w:rPr>
          <w:sz w:val="20"/>
          <w:szCs w:val="20"/>
          <w:color w:val="auto"/>
        </w:rPr>
        <w:tab/>
      </w:r>
      <w:r>
        <w:rPr>
          <w:rFonts w:ascii="Times New Roman" w:cs="Times New Roman" w:eastAsia="Times New Roman" w:hAnsi="Times New Roman"/>
          <w:sz w:val="21"/>
          <w:szCs w:val="21"/>
          <w:color w:val="auto"/>
        </w:rPr>
        <w:t>BUSINESS ASSOCIATE: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/s/ Bonnie Anderson</w:t>
            </w:r>
          </w:p>
        </w:tc>
        <w:tc>
          <w:tcPr>
            <w:tcW w:w="1940" w:type="dxa"/>
            <w:vAlign w:val="bottom"/>
            <w:gridSpan w:val="6"/>
          </w:tcPr>
          <w:p>
            <w:pPr>
              <w:ind w:left="100"/>
              <w:spacing w:after="0"/>
              <w:rPr>
                <w:sz w:val="20"/>
                <w:szCs w:val="20"/>
                <w:color w:val="auto"/>
              </w:rPr>
            </w:pPr>
            <w:r>
              <w:rPr>
                <w:rFonts w:ascii="Times New Roman" w:cs="Times New Roman" w:eastAsia="Times New Roman" w:hAnsi="Times New Roman"/>
                <w:sz w:val="22"/>
                <w:szCs w:val="22"/>
                <w:color w:val="auto"/>
                <w:w w:val="96"/>
              </w:rPr>
              <w:t>By: /s/ Tom Traweek</w:t>
            </w:r>
          </w:p>
        </w:tc>
      </w:tr>
      <w:tr>
        <w:trPr>
          <w:trHeight w:val="20"/>
        </w:trPr>
        <w:tc>
          <w:tcPr>
            <w:tcW w:w="38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22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Name: Bonnie Anderson</w:t>
            </w:r>
          </w:p>
        </w:tc>
        <w:tc>
          <w:tcPr>
            <w:tcW w:w="194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auto"/>
                <w:w w:val="95"/>
              </w:rPr>
              <w:t>Name: Tom Traweek</w:t>
            </w:r>
          </w:p>
        </w:tc>
      </w:tr>
      <w:tr>
        <w:trPr>
          <w:trHeight w:val="20"/>
        </w:trPr>
        <w:tc>
          <w:tcPr>
            <w:tcW w:w="640" w:type="dxa"/>
            <w:vAlign w:val="bottom"/>
            <w:gridSpan w:val="2"/>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r>
      <w:tr>
        <w:trPr>
          <w:trHeight w:val="466"/>
        </w:trPr>
        <w:tc>
          <w:tcPr>
            <w:tcW w:w="22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Title:  Chairman &amp; CEO</w:t>
            </w:r>
          </w:p>
        </w:tc>
        <w:tc>
          <w:tcPr>
            <w:tcW w:w="480" w:type="dxa"/>
            <w:vAlign w:val="bottom"/>
          </w:tcPr>
          <w:p>
            <w:pPr>
              <w:spacing w:after="0"/>
              <w:rPr>
                <w:sz w:val="24"/>
                <w:szCs w:val="24"/>
                <w:color w:val="auto"/>
              </w:rPr>
            </w:pPr>
          </w:p>
        </w:tc>
        <w:tc>
          <w:tcPr>
            <w:tcW w:w="146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Title:  CEO</w:t>
            </w:r>
          </w:p>
        </w:tc>
      </w:tr>
      <w:tr>
        <w:trPr>
          <w:trHeight w:val="20"/>
        </w:trPr>
        <w:tc>
          <w:tcPr>
            <w:tcW w:w="3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G-7</w:t>
      </w:r>
    </w:p>
    <w:p>
      <w:pPr>
        <w:sectPr>
          <w:pgSz w:w="11900" w:h="16838" w:orient="portrait"/>
          <w:cols w:equalWidth="0" w:num="1">
            <w:col w:w="11420"/>
          </w:cols>
          <w:pgMar w:left="240" w:top="396" w:right="239" w:bottom="1440" w:gutter="0" w:footer="0" w:header="0"/>
        </w:sectPr>
      </w:pPr>
    </w:p>
    <w:bookmarkStart w:id="83" w:name="page84"/>
    <w:bookmarkEnd w:id="83"/>
    <w:p>
      <w:pPr>
        <w:jc w:val="center"/>
        <w:ind w:right="2320"/>
        <w:spacing w:after="0"/>
        <w:rPr>
          <w:sz w:val="20"/>
          <w:szCs w:val="20"/>
          <w:color w:val="auto"/>
        </w:rPr>
      </w:pPr>
      <w:r>
        <w:rPr>
          <w:rFonts w:ascii="Times New Roman" w:cs="Times New Roman" w:eastAsia="Times New Roman" w:hAnsi="Times New Roman"/>
          <w:sz w:val="22"/>
          <w:szCs w:val="22"/>
          <w:b w:val="1"/>
          <w:bCs w:val="1"/>
          <w:u w:val="single" w:color="auto"/>
          <w:color w:val="auto"/>
        </w:rPr>
        <w:t>ATTACHMENT A</w:t>
      </w:r>
    </w:p>
    <w:p>
      <w:pPr>
        <w:spacing w:after="0" w:line="247" w:lineRule="exact"/>
        <w:rPr>
          <w:sz w:val="20"/>
          <w:szCs w:val="20"/>
          <w:color w:val="auto"/>
        </w:rPr>
      </w:pPr>
    </w:p>
    <w:p>
      <w:pPr>
        <w:jc w:val="center"/>
        <w:ind w:right="2300"/>
        <w:spacing w:after="0"/>
        <w:rPr>
          <w:sz w:val="20"/>
          <w:szCs w:val="20"/>
          <w:color w:val="auto"/>
        </w:rPr>
      </w:pPr>
      <w:r>
        <w:rPr>
          <w:rFonts w:ascii="Times New Roman" w:cs="Times New Roman" w:eastAsia="Times New Roman" w:hAnsi="Times New Roman"/>
          <w:sz w:val="22"/>
          <w:szCs w:val="22"/>
          <w:b w:val="1"/>
          <w:bCs w:val="1"/>
          <w:u w:val="single" w:color="auto"/>
          <w:color w:val="auto"/>
        </w:rPr>
        <w:t>FORM OF NOTIFICATION TO COVERED ENTITY OF</w:t>
      </w:r>
    </w:p>
    <w:p>
      <w:pPr>
        <w:spacing w:after="0" w:line="24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u w:val="single" w:color="auto"/>
          <w:color w:val="auto"/>
        </w:rPr>
        <w:t>BREACH OF UNSECURED PHI</w:t>
      </w:r>
    </w:p>
    <w:p>
      <w:pPr>
        <w:spacing w:after="0" w:line="247" w:lineRule="exact"/>
        <w:rPr>
          <w:sz w:val="20"/>
          <w:szCs w:val="20"/>
          <w:color w:val="auto"/>
        </w:rPr>
      </w:pPr>
    </w:p>
    <w:p>
      <w:pPr>
        <w:ind w:right="320"/>
        <w:spacing w:after="0" w:line="297" w:lineRule="auto"/>
        <w:rPr>
          <w:sz w:val="20"/>
          <w:szCs w:val="20"/>
          <w:color w:val="auto"/>
        </w:rPr>
      </w:pPr>
      <w:r>
        <w:rPr>
          <w:rFonts w:ascii="Times New Roman" w:cs="Times New Roman" w:eastAsia="Times New Roman" w:hAnsi="Times New Roman"/>
          <w:sz w:val="22"/>
          <w:szCs w:val="22"/>
          <w:color w:val="auto"/>
        </w:rPr>
        <w:t xml:space="preserve">This notification is made pursuant to the Business Associate Agreement between </w:t>
      </w:r>
      <w:r>
        <w:rPr>
          <w:rFonts w:ascii="Times New Roman" w:cs="Times New Roman" w:eastAsia="Times New Roman" w:hAnsi="Times New Roman"/>
          <w:sz w:val="22"/>
          <w:szCs w:val="22"/>
          <w:b w:val="1"/>
          <w:bCs w:val="1"/>
          <w:color w:val="auto"/>
        </w:rPr>
        <w:t>VERACYTE, INC</w:t>
      </w:r>
      <w:r>
        <w:rPr>
          <w:rFonts w:ascii="Times New Roman" w:cs="Times New Roman" w:eastAsia="Times New Roman" w:hAnsi="Times New Roman"/>
          <w:sz w:val="22"/>
          <w:szCs w:val="22"/>
          <w:color w:val="auto"/>
        </w:rPr>
        <w:t xml:space="preserve">., a California corporation (“Covered Entity”), and </w:t>
      </w:r>
      <w:r>
        <w:rPr>
          <w:rFonts w:ascii="Times New Roman" w:cs="Times New Roman" w:eastAsia="Times New Roman" w:hAnsi="Times New Roman"/>
          <w:sz w:val="22"/>
          <w:szCs w:val="22"/>
          <w:b w:val="1"/>
          <w:bCs w:val="1"/>
          <w:color w:val="auto"/>
        </w:rPr>
        <w:t>THYROID CYTOPATHOLOGY PARTNERS, P.A.</w:t>
      </w:r>
      <w:r>
        <w:rPr>
          <w:rFonts w:ascii="Times New Roman" w:cs="Times New Roman" w:eastAsia="Times New Roman" w:hAnsi="Times New Roman"/>
          <w:sz w:val="22"/>
          <w:szCs w:val="22"/>
          <w:color w:val="auto"/>
        </w:rPr>
        <w:t>, a Texas professional association (“Business Associate”).</w:t>
      </w:r>
    </w:p>
    <w:p>
      <w:pPr>
        <w:spacing w:after="0" w:line="172"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22"/>
          <w:szCs w:val="22"/>
          <w:color w:val="auto"/>
        </w:rPr>
        <w:t>Business Associate hereby notifies Covered Entity that there has been an actual or potential breach of unsecured (unencrypted) protected health information (PHI) that Business Associate has used or has had access to under the terms of the Business Associate Agreement.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Description of the breach:</w:t>
      </w:r>
    </w:p>
    <w:p>
      <w:pPr>
        <w:spacing w:after="0" w:line="274"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22"/>
          <w:szCs w:val="22"/>
          <w:color w:val="auto"/>
        </w:rPr>
        <w:t>Date of the breach:</w:t>
      </w:r>
      <w:r>
        <w:rPr>
          <w:sz w:val="20"/>
          <w:szCs w:val="20"/>
          <w:color w:val="auto"/>
        </w:rPr>
        <w:tab/>
      </w:r>
      <w:r>
        <w:rPr>
          <w:rFonts w:ascii="Times New Roman" w:cs="Times New Roman" w:eastAsia="Times New Roman" w:hAnsi="Times New Roman"/>
          <w:sz w:val="21"/>
          <w:szCs w:val="21"/>
          <w:color w:val="auto"/>
        </w:rPr>
        <w:t>Date breach discovered: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 individuals affected by the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Indicate type of breach:</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00" w:hanging="492"/>
        <w:spacing w:after="0"/>
        <w:tabs>
          <w:tab w:leader="none" w:pos="500" w:val="left"/>
        </w:tabs>
        <w:numPr>
          <w:ilvl w:val="0"/>
          <w:numId w:val="63"/>
        </w:numPr>
        <w:rPr>
          <w:rFonts w:ascii="Times New Roman" w:cs="Times New Roman" w:eastAsia="Times New Roman" w:hAnsi="Times New Roman"/>
          <w:sz w:val="43"/>
          <w:szCs w:val="43"/>
          <w:color w:val="auto"/>
        </w:rPr>
      </w:pPr>
      <w:r>
        <w:rPr>
          <w:rFonts w:ascii="Times New Roman" w:cs="Times New Roman" w:eastAsia="Times New Roman" w:hAnsi="Times New Roman"/>
          <w:sz w:val="22"/>
          <w:szCs w:val="22"/>
          <w:color w:val="auto"/>
        </w:rPr>
        <w:t>Theft</w:t>
      </w:r>
    </w:p>
    <w:p>
      <w:pPr>
        <w:spacing w:after="0" w:line="200" w:lineRule="exact"/>
        <w:rPr>
          <w:rFonts w:ascii="Times New Roman" w:cs="Times New Roman" w:eastAsia="Times New Roman" w:hAnsi="Times New Roman"/>
          <w:sz w:val="43"/>
          <w:szCs w:val="43"/>
          <w:color w:val="auto"/>
        </w:rPr>
      </w:pPr>
    </w:p>
    <w:p>
      <w:pPr>
        <w:spacing w:after="0" w:line="200" w:lineRule="exact"/>
        <w:rPr>
          <w:rFonts w:ascii="Times New Roman" w:cs="Times New Roman" w:eastAsia="Times New Roman" w:hAnsi="Times New Roman"/>
          <w:sz w:val="43"/>
          <w:szCs w:val="43"/>
          <w:color w:val="auto"/>
        </w:rPr>
      </w:pPr>
    </w:p>
    <w:p>
      <w:pPr>
        <w:spacing w:after="0" w:line="294" w:lineRule="exact"/>
        <w:rPr>
          <w:rFonts w:ascii="Times New Roman" w:cs="Times New Roman" w:eastAsia="Times New Roman" w:hAnsi="Times New Roman"/>
          <w:sz w:val="43"/>
          <w:szCs w:val="43"/>
          <w:color w:val="auto"/>
        </w:rPr>
      </w:pPr>
    </w:p>
    <w:p>
      <w:pPr>
        <w:ind w:left="500" w:hanging="492"/>
        <w:spacing w:after="0"/>
        <w:tabs>
          <w:tab w:leader="none" w:pos="500" w:val="left"/>
        </w:tabs>
        <w:numPr>
          <w:ilvl w:val="0"/>
          <w:numId w:val="63"/>
        </w:numPr>
        <w:rPr>
          <w:rFonts w:ascii="Times New Roman" w:cs="Times New Roman" w:eastAsia="Times New Roman" w:hAnsi="Times New Roman"/>
          <w:sz w:val="43"/>
          <w:szCs w:val="43"/>
          <w:color w:val="auto"/>
        </w:rPr>
      </w:pPr>
      <w:r>
        <w:rPr>
          <w:rFonts w:ascii="Times New Roman" w:cs="Times New Roman" w:eastAsia="Times New Roman" w:hAnsi="Times New Roman"/>
          <w:sz w:val="22"/>
          <w:szCs w:val="22"/>
          <w:color w:val="auto"/>
        </w:rPr>
        <w:t>Loss</w:t>
      </w:r>
    </w:p>
    <w:p>
      <w:pPr>
        <w:spacing w:after="0" w:line="200" w:lineRule="exact"/>
        <w:rPr>
          <w:rFonts w:ascii="Times New Roman" w:cs="Times New Roman" w:eastAsia="Times New Roman" w:hAnsi="Times New Roman"/>
          <w:sz w:val="43"/>
          <w:szCs w:val="43"/>
          <w:color w:val="auto"/>
        </w:rPr>
      </w:pPr>
    </w:p>
    <w:p>
      <w:pPr>
        <w:spacing w:after="0" w:line="200" w:lineRule="exact"/>
        <w:rPr>
          <w:rFonts w:ascii="Times New Roman" w:cs="Times New Roman" w:eastAsia="Times New Roman" w:hAnsi="Times New Roman"/>
          <w:sz w:val="43"/>
          <w:szCs w:val="43"/>
          <w:color w:val="auto"/>
        </w:rPr>
      </w:pPr>
    </w:p>
    <w:p>
      <w:pPr>
        <w:spacing w:after="0" w:line="294" w:lineRule="exact"/>
        <w:rPr>
          <w:rFonts w:ascii="Times New Roman" w:cs="Times New Roman" w:eastAsia="Times New Roman" w:hAnsi="Times New Roman"/>
          <w:sz w:val="43"/>
          <w:szCs w:val="43"/>
          <w:color w:val="auto"/>
        </w:rPr>
      </w:pPr>
    </w:p>
    <w:p>
      <w:pPr>
        <w:ind w:left="500" w:hanging="492"/>
        <w:spacing w:after="0"/>
        <w:tabs>
          <w:tab w:leader="none" w:pos="500" w:val="left"/>
        </w:tabs>
        <w:numPr>
          <w:ilvl w:val="0"/>
          <w:numId w:val="63"/>
        </w:numPr>
        <w:rPr>
          <w:rFonts w:ascii="Times New Roman" w:cs="Times New Roman" w:eastAsia="Times New Roman" w:hAnsi="Times New Roman"/>
          <w:sz w:val="43"/>
          <w:szCs w:val="43"/>
          <w:color w:val="auto"/>
        </w:rPr>
      </w:pPr>
      <w:r>
        <w:rPr>
          <w:rFonts w:ascii="Times New Roman" w:cs="Times New Roman" w:eastAsia="Times New Roman" w:hAnsi="Times New Roman"/>
          <w:sz w:val="22"/>
          <w:szCs w:val="22"/>
          <w:color w:val="auto"/>
        </w:rPr>
        <w:t>Improper Disposal</w:t>
      </w:r>
    </w:p>
    <w:p>
      <w:pPr>
        <w:spacing w:after="0" w:line="200" w:lineRule="exact"/>
        <w:rPr>
          <w:rFonts w:ascii="Times New Roman" w:cs="Times New Roman" w:eastAsia="Times New Roman" w:hAnsi="Times New Roman"/>
          <w:sz w:val="43"/>
          <w:szCs w:val="43"/>
          <w:color w:val="auto"/>
        </w:rPr>
      </w:pPr>
    </w:p>
    <w:p>
      <w:pPr>
        <w:spacing w:after="0" w:line="200" w:lineRule="exact"/>
        <w:rPr>
          <w:rFonts w:ascii="Times New Roman" w:cs="Times New Roman" w:eastAsia="Times New Roman" w:hAnsi="Times New Roman"/>
          <w:sz w:val="43"/>
          <w:szCs w:val="43"/>
          <w:color w:val="auto"/>
        </w:rPr>
      </w:pPr>
    </w:p>
    <w:p>
      <w:pPr>
        <w:spacing w:after="0" w:line="294" w:lineRule="exact"/>
        <w:rPr>
          <w:rFonts w:ascii="Times New Roman" w:cs="Times New Roman" w:eastAsia="Times New Roman" w:hAnsi="Times New Roman"/>
          <w:sz w:val="43"/>
          <w:szCs w:val="43"/>
          <w:color w:val="auto"/>
        </w:rPr>
      </w:pPr>
    </w:p>
    <w:p>
      <w:pPr>
        <w:ind w:left="500" w:hanging="492"/>
        <w:spacing w:after="0"/>
        <w:tabs>
          <w:tab w:leader="none" w:pos="500" w:val="left"/>
        </w:tabs>
        <w:numPr>
          <w:ilvl w:val="0"/>
          <w:numId w:val="63"/>
        </w:numPr>
        <w:rPr>
          <w:rFonts w:ascii="Times New Roman" w:cs="Times New Roman" w:eastAsia="Times New Roman" w:hAnsi="Times New Roman"/>
          <w:sz w:val="43"/>
          <w:szCs w:val="43"/>
          <w:color w:val="auto"/>
        </w:rPr>
      </w:pPr>
      <w:r>
        <w:rPr>
          <w:rFonts w:ascii="Times New Roman" w:cs="Times New Roman" w:eastAsia="Times New Roman" w:hAnsi="Times New Roman"/>
          <w:sz w:val="22"/>
          <w:szCs w:val="22"/>
          <w:color w:val="auto"/>
        </w:rPr>
        <w:t>Unauthorized Access</w:t>
      </w:r>
    </w:p>
    <w:p>
      <w:pPr>
        <w:spacing w:after="0" w:line="200" w:lineRule="exact"/>
        <w:rPr>
          <w:rFonts w:ascii="Times New Roman" w:cs="Times New Roman" w:eastAsia="Times New Roman" w:hAnsi="Times New Roman"/>
          <w:sz w:val="43"/>
          <w:szCs w:val="43"/>
          <w:color w:val="auto"/>
        </w:rPr>
      </w:pPr>
    </w:p>
    <w:p>
      <w:pPr>
        <w:spacing w:after="0" w:line="200" w:lineRule="exact"/>
        <w:rPr>
          <w:rFonts w:ascii="Times New Roman" w:cs="Times New Roman" w:eastAsia="Times New Roman" w:hAnsi="Times New Roman"/>
          <w:sz w:val="43"/>
          <w:szCs w:val="43"/>
          <w:color w:val="auto"/>
        </w:rPr>
      </w:pPr>
    </w:p>
    <w:p>
      <w:pPr>
        <w:spacing w:after="0" w:line="294" w:lineRule="exact"/>
        <w:rPr>
          <w:rFonts w:ascii="Times New Roman" w:cs="Times New Roman" w:eastAsia="Times New Roman" w:hAnsi="Times New Roman"/>
          <w:sz w:val="43"/>
          <w:szCs w:val="43"/>
          <w:color w:val="auto"/>
        </w:rPr>
      </w:pPr>
    </w:p>
    <w:p>
      <w:pPr>
        <w:ind w:left="500" w:hanging="492"/>
        <w:spacing w:after="0"/>
        <w:tabs>
          <w:tab w:leader="none" w:pos="500" w:val="left"/>
        </w:tabs>
        <w:numPr>
          <w:ilvl w:val="0"/>
          <w:numId w:val="63"/>
        </w:numPr>
        <w:rPr>
          <w:rFonts w:ascii="Times New Roman" w:cs="Times New Roman" w:eastAsia="Times New Roman" w:hAnsi="Times New Roman"/>
          <w:sz w:val="43"/>
          <w:szCs w:val="43"/>
          <w:color w:val="auto"/>
        </w:rPr>
      </w:pPr>
      <w:r>
        <w:rPr>
          <w:rFonts w:ascii="Times New Roman" w:cs="Times New Roman" w:eastAsia="Times New Roman" w:hAnsi="Times New Roman"/>
          <w:sz w:val="22"/>
          <w:szCs w:val="22"/>
          <w:color w:val="auto"/>
        </w:rPr>
        <w:t>Hacking/IT Incident</w:t>
      </w:r>
    </w:p>
    <w:p>
      <w:pPr>
        <w:sectPr>
          <w:pgSz w:w="11900" w:h="16838" w:orient="portrait"/>
          <w:cols w:equalWidth="0" w:num="1">
            <w:col w:w="11340"/>
          </w:cols>
          <w:pgMar w:left="240" w:top="608"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43"/>
          <w:szCs w:val="43"/>
          <w:color w:val="auto"/>
        </w:rPr>
        <w: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color w:val="auto"/>
        </w:rPr>
        <w: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ind w:right="9860"/>
        <w:spacing w:after="0"/>
        <w:rPr>
          <w:sz w:val="20"/>
          <w:szCs w:val="20"/>
          <w:color w:val="auto"/>
        </w:rPr>
      </w:pPr>
      <w:r>
        <w:rPr>
          <w:rFonts w:ascii="Times New Roman" w:cs="Times New Roman" w:eastAsia="Times New Roman" w:hAnsi="Times New Roman"/>
          <w:sz w:val="22"/>
          <w:szCs w:val="22"/>
          <w:color w:val="auto"/>
        </w:rPr>
        <w:t>Unknown</w:t>
      </w:r>
    </w:p>
    <w:p>
      <w:pPr>
        <w:spacing w:after="0" w:line="222" w:lineRule="exact"/>
        <w:rPr>
          <w:sz w:val="20"/>
          <w:szCs w:val="20"/>
          <w:color w:val="auto"/>
        </w:rPr>
      </w:pPr>
    </w:p>
    <w:p>
      <w:pPr>
        <w:sectPr>
          <w:pgSz w:w="11900" w:h="16838" w:orient="portrait"/>
          <w:cols w:equalWidth="0" w:num="2">
            <w:col w:w="260" w:space="240"/>
            <w:col w:w="10920"/>
          </w:cols>
          <w:pgMar w:left="240" w:top="704" w:right="2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Location of Breached Information:</w:t>
      </w:r>
    </w:p>
    <w:p>
      <w:pPr>
        <w:spacing w:after="0" w:line="200" w:lineRule="exact"/>
        <w:rPr>
          <w:sz w:val="20"/>
          <w:szCs w:val="20"/>
          <w:color w:val="auto"/>
        </w:rPr>
      </w:pPr>
    </w:p>
    <w:p>
      <w:pPr>
        <w:spacing w:after="0" w:line="294" w:lineRule="exact"/>
        <w:rPr>
          <w:sz w:val="20"/>
          <w:szCs w:val="20"/>
          <w:color w:val="auto"/>
        </w:rPr>
      </w:pPr>
    </w:p>
    <w:p>
      <w:pPr>
        <w:ind w:left="500" w:hanging="492"/>
        <w:spacing w:after="0"/>
        <w:tabs>
          <w:tab w:leader="none" w:pos="500" w:val="left"/>
        </w:tabs>
        <w:numPr>
          <w:ilvl w:val="0"/>
          <w:numId w:val="64"/>
        </w:numPr>
        <w:rPr>
          <w:rFonts w:ascii="Times New Roman" w:cs="Times New Roman" w:eastAsia="Times New Roman" w:hAnsi="Times New Roman"/>
          <w:sz w:val="43"/>
          <w:szCs w:val="43"/>
          <w:color w:val="auto"/>
        </w:rPr>
      </w:pPr>
      <w:r>
        <w:rPr>
          <w:rFonts w:ascii="Times New Roman" w:cs="Times New Roman" w:eastAsia="Times New Roman" w:hAnsi="Times New Roman"/>
          <w:sz w:val="22"/>
          <w:szCs w:val="22"/>
          <w:color w:val="auto"/>
        </w:rPr>
        <w:t>Laptop</w:t>
      </w:r>
    </w:p>
    <w:p>
      <w:pPr>
        <w:spacing w:after="0" w:line="200" w:lineRule="exact"/>
        <w:rPr>
          <w:rFonts w:ascii="Times New Roman" w:cs="Times New Roman" w:eastAsia="Times New Roman" w:hAnsi="Times New Roman"/>
          <w:sz w:val="43"/>
          <w:szCs w:val="43"/>
          <w:color w:val="auto"/>
        </w:rPr>
      </w:pPr>
    </w:p>
    <w:p>
      <w:pPr>
        <w:spacing w:after="0" w:line="200" w:lineRule="exact"/>
        <w:rPr>
          <w:rFonts w:ascii="Times New Roman" w:cs="Times New Roman" w:eastAsia="Times New Roman" w:hAnsi="Times New Roman"/>
          <w:sz w:val="43"/>
          <w:szCs w:val="43"/>
          <w:color w:val="auto"/>
        </w:rPr>
      </w:pPr>
    </w:p>
    <w:p>
      <w:pPr>
        <w:spacing w:after="0" w:line="294" w:lineRule="exact"/>
        <w:rPr>
          <w:rFonts w:ascii="Times New Roman" w:cs="Times New Roman" w:eastAsia="Times New Roman" w:hAnsi="Times New Roman"/>
          <w:sz w:val="43"/>
          <w:szCs w:val="43"/>
          <w:color w:val="auto"/>
        </w:rPr>
      </w:pPr>
    </w:p>
    <w:p>
      <w:pPr>
        <w:ind w:left="500" w:hanging="492"/>
        <w:spacing w:after="0"/>
        <w:tabs>
          <w:tab w:leader="none" w:pos="500" w:val="left"/>
        </w:tabs>
        <w:numPr>
          <w:ilvl w:val="0"/>
          <w:numId w:val="64"/>
        </w:numPr>
        <w:rPr>
          <w:rFonts w:ascii="Times New Roman" w:cs="Times New Roman" w:eastAsia="Times New Roman" w:hAnsi="Times New Roman"/>
          <w:sz w:val="43"/>
          <w:szCs w:val="43"/>
          <w:color w:val="auto"/>
        </w:rPr>
      </w:pPr>
      <w:r>
        <w:rPr>
          <w:rFonts w:ascii="Times New Roman" w:cs="Times New Roman" w:eastAsia="Times New Roman" w:hAnsi="Times New Roman"/>
          <w:sz w:val="22"/>
          <w:szCs w:val="22"/>
          <w:color w:val="auto"/>
        </w:rPr>
        <w:t>Desktop Computer</w:t>
      </w:r>
    </w:p>
    <w:p>
      <w:pPr>
        <w:spacing w:after="0" w:line="200" w:lineRule="exact"/>
        <w:rPr>
          <w:rFonts w:ascii="Times New Roman" w:cs="Times New Roman" w:eastAsia="Times New Roman" w:hAnsi="Times New Roman"/>
          <w:sz w:val="43"/>
          <w:szCs w:val="43"/>
          <w:color w:val="auto"/>
        </w:rPr>
      </w:pPr>
    </w:p>
    <w:p>
      <w:pPr>
        <w:spacing w:after="0" w:line="200" w:lineRule="exact"/>
        <w:rPr>
          <w:rFonts w:ascii="Times New Roman" w:cs="Times New Roman" w:eastAsia="Times New Roman" w:hAnsi="Times New Roman"/>
          <w:sz w:val="43"/>
          <w:szCs w:val="43"/>
          <w:color w:val="auto"/>
        </w:rPr>
      </w:pPr>
    </w:p>
    <w:p>
      <w:pPr>
        <w:spacing w:after="0" w:line="294" w:lineRule="exact"/>
        <w:rPr>
          <w:rFonts w:ascii="Times New Roman" w:cs="Times New Roman" w:eastAsia="Times New Roman" w:hAnsi="Times New Roman"/>
          <w:sz w:val="43"/>
          <w:szCs w:val="43"/>
          <w:color w:val="auto"/>
        </w:rPr>
      </w:pPr>
    </w:p>
    <w:p>
      <w:pPr>
        <w:ind w:left="500" w:hanging="492"/>
        <w:spacing w:after="0"/>
        <w:tabs>
          <w:tab w:leader="none" w:pos="500" w:val="left"/>
        </w:tabs>
        <w:numPr>
          <w:ilvl w:val="0"/>
          <w:numId w:val="64"/>
        </w:numPr>
        <w:rPr>
          <w:rFonts w:ascii="Times New Roman" w:cs="Times New Roman" w:eastAsia="Times New Roman" w:hAnsi="Times New Roman"/>
          <w:sz w:val="43"/>
          <w:szCs w:val="43"/>
          <w:color w:val="auto"/>
        </w:rPr>
      </w:pPr>
      <w:r>
        <w:rPr>
          <w:rFonts w:ascii="Times New Roman" w:cs="Times New Roman" w:eastAsia="Times New Roman" w:hAnsi="Times New Roman"/>
          <w:sz w:val="22"/>
          <w:szCs w:val="22"/>
          <w:color w:val="auto"/>
        </w:rPr>
        <w:t>Email</w:t>
      </w:r>
    </w:p>
    <w:p>
      <w:pPr>
        <w:spacing w:after="0" w:line="200" w:lineRule="exact"/>
        <w:rPr>
          <w:rFonts w:ascii="Times New Roman" w:cs="Times New Roman" w:eastAsia="Times New Roman" w:hAnsi="Times New Roman"/>
          <w:sz w:val="43"/>
          <w:szCs w:val="43"/>
          <w:color w:val="auto"/>
        </w:rPr>
      </w:pPr>
    </w:p>
    <w:p>
      <w:pPr>
        <w:spacing w:after="0" w:line="200" w:lineRule="exact"/>
        <w:rPr>
          <w:rFonts w:ascii="Times New Roman" w:cs="Times New Roman" w:eastAsia="Times New Roman" w:hAnsi="Times New Roman"/>
          <w:sz w:val="43"/>
          <w:szCs w:val="43"/>
          <w:color w:val="auto"/>
        </w:rPr>
      </w:pPr>
    </w:p>
    <w:p>
      <w:pPr>
        <w:spacing w:after="0" w:line="334" w:lineRule="exact"/>
        <w:rPr>
          <w:rFonts w:ascii="Times New Roman" w:cs="Times New Roman" w:eastAsia="Times New Roman" w:hAnsi="Times New Roman"/>
          <w:sz w:val="43"/>
          <w:szCs w:val="43"/>
          <w:color w:val="auto"/>
        </w:rPr>
      </w:pPr>
    </w:p>
    <w:p>
      <w:pPr>
        <w:ind w:left="700" w:hanging="692"/>
        <w:spacing w:after="0"/>
        <w:tabs>
          <w:tab w:leader="none" w:pos="700" w:val="left"/>
        </w:tabs>
        <w:numPr>
          <w:ilvl w:val="0"/>
          <w:numId w:val="64"/>
        </w:numPr>
        <w:rPr>
          <w:rFonts w:ascii="Times New Roman" w:cs="Times New Roman" w:eastAsia="Times New Roman" w:hAnsi="Times New Roman"/>
          <w:sz w:val="43"/>
          <w:szCs w:val="43"/>
          <w:color w:val="auto"/>
        </w:rPr>
      </w:pPr>
      <w:r>
        <w:rPr>
          <w:rFonts w:ascii="Times New Roman" w:cs="Times New Roman" w:eastAsia="Times New Roman" w:hAnsi="Times New Roman"/>
          <w:sz w:val="22"/>
          <w:szCs w:val="22"/>
          <w:color w:val="auto"/>
        </w:rPr>
        <w:t>Portable Media/Device</w:t>
      </w:r>
    </w:p>
    <w:p>
      <w:pPr>
        <w:spacing w:after="0" w:line="200" w:lineRule="exact"/>
        <w:rPr>
          <w:rFonts w:ascii="Times New Roman" w:cs="Times New Roman" w:eastAsia="Times New Roman" w:hAnsi="Times New Roman"/>
          <w:sz w:val="43"/>
          <w:szCs w:val="43"/>
          <w:color w:val="auto"/>
        </w:rPr>
      </w:pPr>
    </w:p>
    <w:p>
      <w:pPr>
        <w:spacing w:after="0" w:line="200" w:lineRule="exact"/>
        <w:rPr>
          <w:rFonts w:ascii="Times New Roman" w:cs="Times New Roman" w:eastAsia="Times New Roman" w:hAnsi="Times New Roman"/>
          <w:sz w:val="43"/>
          <w:szCs w:val="43"/>
          <w:color w:val="auto"/>
        </w:rPr>
      </w:pPr>
    </w:p>
    <w:p>
      <w:pPr>
        <w:spacing w:after="0" w:line="200" w:lineRule="exact"/>
        <w:rPr>
          <w:rFonts w:ascii="Times New Roman" w:cs="Times New Roman" w:eastAsia="Times New Roman" w:hAnsi="Times New Roman"/>
          <w:sz w:val="43"/>
          <w:szCs w:val="43"/>
          <w:color w:val="auto"/>
        </w:rPr>
      </w:pPr>
    </w:p>
    <w:p>
      <w:pPr>
        <w:spacing w:after="0" w:line="229" w:lineRule="exact"/>
        <w:rPr>
          <w:rFonts w:ascii="Times New Roman" w:cs="Times New Roman" w:eastAsia="Times New Roman" w:hAnsi="Times New Roman"/>
          <w:sz w:val="43"/>
          <w:szCs w:val="43"/>
          <w:color w:val="auto"/>
        </w:rPr>
      </w:pPr>
    </w:p>
    <w:p>
      <w:pPr>
        <w:ind w:left="800" w:hanging="792"/>
        <w:spacing w:after="0"/>
        <w:tabs>
          <w:tab w:leader="none" w:pos="800" w:val="left"/>
        </w:tabs>
        <w:numPr>
          <w:ilvl w:val="0"/>
          <w:numId w:val="64"/>
        </w:numPr>
        <w:rPr>
          <w:rFonts w:ascii="Times New Roman" w:cs="Times New Roman" w:eastAsia="Times New Roman" w:hAnsi="Times New Roman"/>
          <w:sz w:val="43"/>
          <w:szCs w:val="43"/>
          <w:color w:val="auto"/>
        </w:rPr>
      </w:pPr>
      <w:r>
        <w:rPr>
          <w:rFonts w:ascii="Times New Roman" w:cs="Times New Roman" w:eastAsia="Times New Roman" w:hAnsi="Times New Roman"/>
          <w:sz w:val="22"/>
          <w:szCs w:val="22"/>
          <w:color w:val="auto"/>
        </w:rPr>
        <w:t>EMR</w:t>
      </w:r>
    </w:p>
    <w:p>
      <w:pPr>
        <w:spacing w:after="0" w:line="200" w:lineRule="exact"/>
        <w:rPr>
          <w:rFonts w:ascii="Times New Roman" w:cs="Times New Roman" w:eastAsia="Times New Roman" w:hAnsi="Times New Roman"/>
          <w:sz w:val="43"/>
          <w:szCs w:val="43"/>
          <w:color w:val="auto"/>
        </w:rPr>
      </w:pPr>
    </w:p>
    <w:p>
      <w:pPr>
        <w:spacing w:after="0" w:line="200" w:lineRule="exact"/>
        <w:rPr>
          <w:rFonts w:ascii="Times New Roman" w:cs="Times New Roman" w:eastAsia="Times New Roman" w:hAnsi="Times New Roman"/>
          <w:sz w:val="43"/>
          <w:szCs w:val="43"/>
          <w:color w:val="auto"/>
        </w:rPr>
      </w:pPr>
    </w:p>
    <w:p>
      <w:pPr>
        <w:spacing w:after="0" w:line="200" w:lineRule="exact"/>
        <w:rPr>
          <w:rFonts w:ascii="Times New Roman" w:cs="Times New Roman" w:eastAsia="Times New Roman" w:hAnsi="Times New Roman"/>
          <w:sz w:val="43"/>
          <w:szCs w:val="43"/>
          <w:color w:val="auto"/>
        </w:rPr>
      </w:pPr>
    </w:p>
    <w:p>
      <w:pPr>
        <w:spacing w:after="0" w:line="229" w:lineRule="exact"/>
        <w:rPr>
          <w:rFonts w:ascii="Times New Roman" w:cs="Times New Roman" w:eastAsia="Times New Roman" w:hAnsi="Times New Roman"/>
          <w:sz w:val="43"/>
          <w:szCs w:val="43"/>
          <w:color w:val="auto"/>
        </w:rPr>
      </w:pPr>
    </w:p>
    <w:p>
      <w:pPr>
        <w:ind w:left="800" w:hanging="792"/>
        <w:spacing w:after="0"/>
        <w:tabs>
          <w:tab w:leader="none" w:pos="800" w:val="left"/>
        </w:tabs>
        <w:numPr>
          <w:ilvl w:val="0"/>
          <w:numId w:val="64"/>
        </w:numPr>
        <w:rPr>
          <w:rFonts w:ascii="Times New Roman" w:cs="Times New Roman" w:eastAsia="Times New Roman" w:hAnsi="Times New Roman"/>
          <w:sz w:val="43"/>
          <w:szCs w:val="43"/>
          <w:color w:val="auto"/>
        </w:rPr>
      </w:pPr>
      <w:r>
        <w:rPr>
          <w:rFonts w:ascii="Times New Roman" w:cs="Times New Roman" w:eastAsia="Times New Roman" w:hAnsi="Times New Roman"/>
          <w:sz w:val="22"/>
          <w:szCs w:val="22"/>
          <w:color w:val="auto"/>
        </w:rPr>
        <w:t>Paper</w:t>
      </w:r>
    </w:p>
    <w:p>
      <w:pPr>
        <w:spacing w:after="0" w:line="200" w:lineRule="exact"/>
        <w:rPr>
          <w:rFonts w:ascii="Times New Roman" w:cs="Times New Roman" w:eastAsia="Times New Roman" w:hAnsi="Times New Roman"/>
          <w:sz w:val="43"/>
          <w:szCs w:val="43"/>
          <w:color w:val="auto"/>
        </w:rPr>
      </w:pPr>
    </w:p>
    <w:p>
      <w:pPr>
        <w:spacing w:after="0" w:line="200" w:lineRule="exact"/>
        <w:rPr>
          <w:rFonts w:ascii="Times New Roman" w:cs="Times New Roman" w:eastAsia="Times New Roman" w:hAnsi="Times New Roman"/>
          <w:sz w:val="43"/>
          <w:szCs w:val="43"/>
          <w:color w:val="auto"/>
        </w:rPr>
      </w:pPr>
    </w:p>
    <w:p>
      <w:pPr>
        <w:spacing w:after="0" w:line="200" w:lineRule="exact"/>
        <w:rPr>
          <w:rFonts w:ascii="Times New Roman" w:cs="Times New Roman" w:eastAsia="Times New Roman" w:hAnsi="Times New Roman"/>
          <w:sz w:val="43"/>
          <w:szCs w:val="43"/>
          <w:color w:val="auto"/>
        </w:rPr>
      </w:pPr>
    </w:p>
    <w:p>
      <w:pPr>
        <w:spacing w:after="0" w:line="229" w:lineRule="exact"/>
        <w:rPr>
          <w:rFonts w:ascii="Times New Roman" w:cs="Times New Roman" w:eastAsia="Times New Roman" w:hAnsi="Times New Roman"/>
          <w:sz w:val="43"/>
          <w:szCs w:val="43"/>
          <w:color w:val="auto"/>
        </w:rPr>
      </w:pPr>
    </w:p>
    <w:p>
      <w:pPr>
        <w:ind w:left="700" w:hanging="692"/>
        <w:spacing w:after="0"/>
        <w:tabs>
          <w:tab w:leader="none" w:pos="700" w:val="left"/>
        </w:tabs>
        <w:numPr>
          <w:ilvl w:val="0"/>
          <w:numId w:val="64"/>
        </w:numPr>
        <w:rPr>
          <w:rFonts w:ascii="Times New Roman" w:cs="Times New Roman" w:eastAsia="Times New Roman" w:hAnsi="Times New Roman"/>
          <w:sz w:val="43"/>
          <w:szCs w:val="43"/>
          <w:color w:val="auto"/>
        </w:rPr>
      </w:pPr>
      <w:r>
        <w:rPr>
          <w:rFonts w:ascii="Times New Roman" w:cs="Times New Roman" w:eastAsia="Times New Roman" w:hAnsi="Times New Roman"/>
          <w:sz w:val="22"/>
          <w:szCs w:val="22"/>
          <w:color w:val="auto"/>
        </w:rPr>
        <w:t>Other: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21"/>
          <w:szCs w:val="21"/>
          <w:color w:val="auto"/>
        </w:rPr>
        <w:t>A description of the types of unsecured PHI that were involved in the breach (Demographic - full or partial name, Social Security number, date of birth, home address, account number, or disability code; Financial - billing information, credit card # or check/bank account number; Clinical - any mention of diagnosis, procedure, treatment provided, or ICD-9-CM or CPT-codes; Other):</w:t>
      </w:r>
    </w:p>
    <w:p>
      <w:pPr>
        <w:sectPr>
          <w:pgSz w:w="11900" w:h="16838" w:orient="portrait"/>
          <w:cols w:equalWidth="0" w:num="1">
            <w:col w:w="11420"/>
          </w:cols>
          <w:pgMar w:left="240" w:top="704" w:right="239" w:bottom="1440" w:gutter="0" w:footer="0" w:header="0"/>
          <w:type w:val="continuous"/>
        </w:sectPr>
      </w:pPr>
    </w:p>
    <w:bookmarkStart w:id="85" w:name="page86"/>
    <w:bookmarkEnd w:id="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2"/>
          <w:szCs w:val="22"/>
          <w:color w:val="auto"/>
        </w:rPr>
        <w:t>What safeguards were in place prior to the breach: (Circle all that apply) Firewalls, packet filtering, secure browser, strong authentication, encrypted wireless, physical security (explain), logic access control, anti-virus software (list product name), intrusion detection, biometrics, etc.: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040"/>
        <w:spacing w:after="0" w:line="309" w:lineRule="auto"/>
        <w:rPr>
          <w:sz w:val="20"/>
          <w:szCs w:val="20"/>
          <w:color w:val="auto"/>
        </w:rPr>
      </w:pPr>
      <w:r>
        <w:rPr>
          <w:rFonts w:ascii="Times New Roman" w:cs="Times New Roman" w:eastAsia="Times New Roman" w:hAnsi="Times New Roman"/>
          <w:sz w:val="22"/>
          <w:szCs w:val="22"/>
          <w:color w:val="auto"/>
        </w:rPr>
        <w:t>Description of what Business Associate is doing to investigate the breach, to mitigate losses, and to protect against any further breaches: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 information to ask questions or learn additional information: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-13970</wp:posOffset>
            </wp:positionV>
            <wp:extent cx="137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Title:</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Address:</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1266825</wp:posOffset>
            </wp:positionH>
            <wp:positionV relativeFrom="paragraph">
              <wp:posOffset>-13970</wp:posOffset>
            </wp:positionV>
            <wp:extent cx="13722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-13970</wp:posOffset>
            </wp:positionV>
            <wp:extent cx="13722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OFFICER’S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Bonnie H. Anderson, certify that:</w:t>
      </w:r>
    </w:p>
    <w:p>
      <w:pPr>
        <w:spacing w:after="0" w:line="225" w:lineRule="exact"/>
        <w:rPr>
          <w:sz w:val="20"/>
          <w:szCs w:val="20"/>
          <w:color w:val="auto"/>
        </w:rPr>
      </w:pPr>
    </w:p>
    <w:p>
      <w:pPr>
        <w:ind w:left="1340" w:hanging="684"/>
        <w:spacing w:after="0"/>
        <w:tabs>
          <w:tab w:leader="none" w:pos="1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Veracyte, Inc. for the quarter ended March 31, 2019;</w:t>
      </w:r>
    </w:p>
    <w:p>
      <w:pPr>
        <w:spacing w:after="0" w:line="26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w:t>
      </w:r>
    </w:p>
    <w:p>
      <w:pPr>
        <w:spacing w:after="0" w:line="5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make the statements made, in light of the circumstances under which such statements were made, not misleading with respect to the period covered by this report;</w:t>
      </w:r>
    </w:p>
    <w:p>
      <w:pPr>
        <w:spacing w:after="0" w:line="162" w:lineRule="exact"/>
        <w:rPr>
          <w:sz w:val="20"/>
          <w:szCs w:val="20"/>
          <w:color w:val="auto"/>
        </w:rPr>
      </w:pPr>
    </w:p>
    <w:p>
      <w:pPr>
        <w:ind w:right="460" w:firstLine="656"/>
        <w:spacing w:after="0" w:line="329" w:lineRule="auto"/>
        <w:tabs>
          <w:tab w:leader="none" w:pos="132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w:t>
      </w:r>
    </w:p>
    <w:p>
      <w:pPr>
        <w:spacing w:after="0" w:line="5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defined in Exchange Act Rules 13a-15(e) and 15d-15(e)) and internal control over financial reporting (as defined in Exchange Act Rules 13a-15(f) and 15d-15(f)) for the registrant and have:</w:t>
      </w:r>
    </w:p>
    <w:p>
      <w:pPr>
        <w:spacing w:after="0" w:line="162" w:lineRule="exact"/>
        <w:rPr>
          <w:sz w:val="20"/>
          <w:szCs w:val="20"/>
          <w:color w:val="auto"/>
        </w:rPr>
      </w:pPr>
    </w:p>
    <w:p>
      <w:pPr>
        <w:ind w:left="1980" w:hanging="675"/>
        <w:spacing w:after="0"/>
        <w:tabs>
          <w:tab w:leader="none" w:pos="1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w:t>
      </w:r>
    </w:p>
    <w:p>
      <w:pPr>
        <w:spacing w:after="0" w:line="50" w:lineRule="exact"/>
        <w:rPr>
          <w:sz w:val="20"/>
          <w:szCs w:val="20"/>
          <w:color w:val="auto"/>
        </w:rPr>
      </w:pPr>
    </w:p>
    <w:p>
      <w:pPr>
        <w:ind w:left="660" w:right="460"/>
        <w:spacing w:after="0" w:line="282" w:lineRule="auto"/>
        <w:rPr>
          <w:sz w:val="20"/>
          <w:szCs w:val="20"/>
          <w:color w:val="auto"/>
        </w:rPr>
      </w:pPr>
      <w:r>
        <w:rPr>
          <w:rFonts w:ascii="Times New Roman" w:cs="Times New Roman" w:eastAsia="Times New Roman" w:hAnsi="Times New Roman"/>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sz w:val="20"/>
          <w:szCs w:val="20"/>
          <w:color w:val="auto"/>
        </w:rPr>
      </w:pPr>
    </w:p>
    <w:p>
      <w:pPr>
        <w:ind w:left="1980" w:hanging="675"/>
        <w:spacing w:after="0"/>
        <w:tabs>
          <w:tab w:leader="none" w:pos="1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w:t>
      </w:r>
    </w:p>
    <w:p>
      <w:pPr>
        <w:spacing w:after="0" w:line="50"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sz w:val="20"/>
          <w:szCs w:val="20"/>
          <w:color w:val="auto"/>
        </w:rPr>
      </w:pPr>
    </w:p>
    <w:p>
      <w:pPr>
        <w:ind w:left="660" w:right="320" w:firstLine="645"/>
        <w:spacing w:after="0" w:line="362" w:lineRule="auto"/>
        <w:tabs>
          <w:tab w:leader="none" w:pos="1993"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980" w:hanging="675"/>
        <w:spacing w:after="0"/>
        <w:tabs>
          <w:tab w:leader="none" w:pos="1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w:t>
      </w:r>
    </w:p>
    <w:p>
      <w:pPr>
        <w:spacing w:after="0" w:line="50"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sz w:val="20"/>
          <w:szCs w:val="20"/>
          <w:color w:val="auto"/>
        </w:rPr>
      </w:pPr>
    </w:p>
    <w:p>
      <w:pPr>
        <w:ind w:right="520" w:firstLine="656"/>
        <w:spacing w:after="0" w:line="362" w:lineRule="auto"/>
        <w:tabs>
          <w:tab w:leader="none" w:pos="1328"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660" w:right="220" w:firstLine="645"/>
        <w:spacing w:after="0" w:line="329" w:lineRule="auto"/>
        <w:tabs>
          <w:tab w:leader="none" w:pos="1979"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660" w:right="240" w:firstLine="645"/>
        <w:spacing w:after="0" w:line="329" w:lineRule="auto"/>
        <w:tabs>
          <w:tab w:leader="none" w:pos="1989"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April 30, 2019</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Bonnie H. Anderson</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76" w:right="2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OFFICER’S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Keith Kennedy, certify that:</w:t>
      </w:r>
    </w:p>
    <w:p>
      <w:pPr>
        <w:spacing w:after="0" w:line="225" w:lineRule="exact"/>
        <w:rPr>
          <w:sz w:val="20"/>
          <w:szCs w:val="20"/>
          <w:color w:val="auto"/>
        </w:rPr>
      </w:pPr>
    </w:p>
    <w:p>
      <w:pPr>
        <w:ind w:left="1340" w:hanging="684"/>
        <w:spacing w:after="0"/>
        <w:tabs>
          <w:tab w:leader="none" w:pos="1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Veracyte, Inc. for the quarter ended March 31, 2019;</w:t>
      </w:r>
    </w:p>
    <w:p>
      <w:pPr>
        <w:spacing w:after="0" w:line="26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w:t>
      </w:r>
    </w:p>
    <w:p>
      <w:pPr>
        <w:spacing w:after="0" w:line="5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make the statements made, in light of the circumstances under which such statements were made, not misleading with respect to the period covered by this report;</w:t>
      </w:r>
    </w:p>
    <w:p>
      <w:pPr>
        <w:spacing w:after="0" w:line="162" w:lineRule="exact"/>
        <w:rPr>
          <w:sz w:val="20"/>
          <w:szCs w:val="20"/>
          <w:color w:val="auto"/>
        </w:rPr>
      </w:pPr>
    </w:p>
    <w:p>
      <w:pPr>
        <w:ind w:right="460" w:firstLine="656"/>
        <w:spacing w:after="0" w:line="329" w:lineRule="auto"/>
        <w:tabs>
          <w:tab w:leader="none" w:pos="132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w:t>
      </w:r>
    </w:p>
    <w:p>
      <w:pPr>
        <w:spacing w:after="0" w:line="5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defined in Exchange Act Rules 13a-15(e) and 15d-15(e)) and internal control over financial reporting (as defined in Exchange Act Rules 13a-15(f) and 15d-15(f)) for the registrant and have:</w:t>
      </w:r>
    </w:p>
    <w:p>
      <w:pPr>
        <w:spacing w:after="0" w:line="162" w:lineRule="exact"/>
        <w:rPr>
          <w:sz w:val="20"/>
          <w:szCs w:val="20"/>
          <w:color w:val="auto"/>
        </w:rPr>
      </w:pPr>
    </w:p>
    <w:p>
      <w:pPr>
        <w:ind w:left="1980" w:hanging="675"/>
        <w:spacing w:after="0"/>
        <w:tabs>
          <w:tab w:leader="none" w:pos="1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w:t>
      </w:r>
    </w:p>
    <w:p>
      <w:pPr>
        <w:spacing w:after="0" w:line="50" w:lineRule="exact"/>
        <w:rPr>
          <w:sz w:val="20"/>
          <w:szCs w:val="20"/>
          <w:color w:val="auto"/>
        </w:rPr>
      </w:pPr>
    </w:p>
    <w:p>
      <w:pPr>
        <w:ind w:left="660" w:right="460"/>
        <w:spacing w:after="0" w:line="282" w:lineRule="auto"/>
        <w:rPr>
          <w:sz w:val="20"/>
          <w:szCs w:val="20"/>
          <w:color w:val="auto"/>
        </w:rPr>
      </w:pPr>
      <w:r>
        <w:rPr>
          <w:rFonts w:ascii="Times New Roman" w:cs="Times New Roman" w:eastAsia="Times New Roman" w:hAnsi="Times New Roman"/>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sz w:val="20"/>
          <w:szCs w:val="20"/>
          <w:color w:val="auto"/>
        </w:rPr>
      </w:pPr>
    </w:p>
    <w:p>
      <w:pPr>
        <w:ind w:left="1980" w:hanging="675"/>
        <w:spacing w:after="0"/>
        <w:tabs>
          <w:tab w:leader="none" w:pos="1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w:t>
      </w:r>
    </w:p>
    <w:p>
      <w:pPr>
        <w:spacing w:after="0" w:line="50"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sz w:val="20"/>
          <w:szCs w:val="20"/>
          <w:color w:val="auto"/>
        </w:rPr>
      </w:pPr>
    </w:p>
    <w:p>
      <w:pPr>
        <w:ind w:left="660" w:right="320" w:firstLine="645"/>
        <w:spacing w:after="0" w:line="362" w:lineRule="auto"/>
        <w:tabs>
          <w:tab w:leader="none" w:pos="1993"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980" w:hanging="675"/>
        <w:spacing w:after="0"/>
        <w:tabs>
          <w:tab w:leader="none" w:pos="1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w:t>
      </w:r>
    </w:p>
    <w:p>
      <w:pPr>
        <w:spacing w:after="0" w:line="50"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sz w:val="20"/>
          <w:szCs w:val="20"/>
          <w:color w:val="auto"/>
        </w:rPr>
      </w:pPr>
    </w:p>
    <w:p>
      <w:pPr>
        <w:ind w:right="520" w:firstLine="656"/>
        <w:spacing w:after="0" w:line="362" w:lineRule="auto"/>
        <w:tabs>
          <w:tab w:leader="none" w:pos="1328"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660" w:right="220" w:firstLine="645"/>
        <w:spacing w:after="0" w:line="329" w:lineRule="auto"/>
        <w:tabs>
          <w:tab w:leader="none" w:pos="1979"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660" w:right="240" w:firstLine="645"/>
        <w:spacing w:after="0" w:line="329" w:lineRule="auto"/>
        <w:tabs>
          <w:tab w:leader="none" w:pos="1989"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April 30, 2019</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Keith Kennedy</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76" w:right="2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Veracyte, Inc. (the “Company”) on Form 10-Q for the quarter ended March 31, 2019,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76" w:lineRule="exact"/>
        <w:rPr>
          <w:sz w:val="20"/>
          <w:szCs w:val="20"/>
          <w:color w:val="auto"/>
        </w:rPr>
      </w:pPr>
    </w:p>
    <w:p>
      <w:pPr>
        <w:ind w:left="2000" w:hanging="695"/>
        <w:spacing w:after="0"/>
        <w:tabs>
          <w:tab w:leader="none" w:pos="2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6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w:t>
      </w:r>
    </w:p>
    <w:p>
      <w:pPr>
        <w:spacing w:after="0" w:line="4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w:t>
      </w:r>
    </w:p>
    <w:p>
      <w:pPr>
        <w:spacing w:after="0" w:line="387"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April 30, 2019</w:t>
      </w:r>
    </w:p>
    <w:p>
      <w:pPr>
        <w:spacing w:after="0" w:line="33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Bonnie H. Anderson</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76" w:right="2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Veracyte, Inc. (the “Company”) on Form 10-Q for the quarter ended March 31, 2019,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76" w:lineRule="exact"/>
        <w:rPr>
          <w:sz w:val="20"/>
          <w:szCs w:val="20"/>
          <w:color w:val="auto"/>
        </w:rPr>
      </w:pPr>
    </w:p>
    <w:p>
      <w:pPr>
        <w:ind w:left="2000" w:hanging="695"/>
        <w:spacing w:after="0"/>
        <w:tabs>
          <w:tab w:leader="none" w:pos="2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6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w:t>
      </w:r>
    </w:p>
    <w:p>
      <w:pPr>
        <w:spacing w:after="0" w:line="4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w:t>
      </w:r>
    </w:p>
    <w:p>
      <w:pPr>
        <w:spacing w:after="0" w:line="387"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April 30, 2019</w:t>
      </w:r>
    </w:p>
    <w:p>
      <w:pPr>
        <w:spacing w:after="0" w:line="33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Keith Kennedy</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1."/>
      <w:numFmt w:val="upperLetter"/>
      <w:start w:val="1"/>
    </w:lvl>
  </w:abstractNum>
  <w:abstractNum w:abstractNumId="25">
    <w:nsid w:val="75C6C33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6">
    <w:nsid w:val="12E685FB"/>
    <w:multiLevelType w:val="hybridMultilevel"/>
    <w:lvl w:ilvl="0">
      <w:lvlJc w:val="left"/>
      <w:lvlText w:val="%1"/>
      <w:numFmt w:val="lowerLetter"/>
      <w:start w:val="1"/>
    </w:lvl>
    <w:lvl w:ilvl="1">
      <w:lvlJc w:val="left"/>
      <w:lvlText w:val="(%2)"/>
      <w:numFmt w:val="lowerLetter"/>
      <w:start w:val="35"/>
    </w:lvl>
  </w:abstractNum>
  <w:abstractNum w:abstractNumId="27">
    <w:nsid w:val="70C6A529"/>
    <w:multiLevelType w:val="hybridMultilevel"/>
    <w:lvl w:ilvl="0">
      <w:lvlJc w:val="left"/>
      <w:lvlText w:val="(%1)"/>
      <w:numFmt w:val="lowerLetter"/>
      <w:start w:val="2"/>
    </w:lvl>
    <w:lvl w:ilvl="1">
      <w:lvlJc w:val="left"/>
      <w:lvlText w:val="%2"/>
      <w:numFmt w:val="lowerLetter"/>
      <w:start w:val="1"/>
    </w:lvl>
  </w:abstractNum>
  <w:abstractNum w:abstractNumId="28">
    <w:nsid w:val="520EEDD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9">
    <w:nsid w:val="374A3FE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0">
    <w:nsid w:val="4F4EF005"/>
    <w:multiLevelType w:val="hybridMultilevel"/>
    <w:lvl w:ilvl="0">
      <w:lvlJc w:val="left"/>
      <w:lvlText w:val="%1"/>
      <w:numFmt w:val="lowerRoman"/>
      <w:start w:val="1"/>
    </w:lvl>
    <w:lvl w:ilvl="1">
      <w:lvlJc w:val="left"/>
      <w:lvlText w:val="(%2)"/>
      <w:numFmt w:val="lowerRoman"/>
      <w:start w:val="4"/>
    </w:lvl>
  </w:abstractNum>
  <w:abstractNum w:abstractNumId="31">
    <w:nsid w:val="23F9C13C"/>
    <w:multiLevelType w:val="hybridMultilevel"/>
    <w:lvl w:ilvl="0">
      <w:lvlJc w:val="left"/>
      <w:lvlText w:val="(%1)"/>
      <w:numFmt w:val="lowerRoman"/>
      <w:start w:val="5"/>
    </w:lvl>
    <w:lvl w:ilvl="1">
      <w:lvlJc w:val="left"/>
      <w:lvlText w:val="%2"/>
      <w:numFmt w:val="lowerRoman"/>
      <w:start w:val="1"/>
    </w:lvl>
  </w:abstractNum>
  <w:abstractNum w:abstractNumId="32">
    <w:nsid w:val="649BB77C"/>
    <w:multiLevelType w:val="hybridMultilevel"/>
    <w:lvl w:ilvl="0">
      <w:lvlJc w:val="left"/>
      <w:lvlText w:val="(%1)"/>
      <w:numFmt w:val="lowerRoman"/>
      <w:start w:val="6"/>
    </w:lvl>
  </w:abstractNum>
  <w:abstractNum w:abstractNumId="33">
    <w:nsid w:val="275AC794"/>
    <w:multiLevelType w:val="hybridMultilevel"/>
    <w:lvl w:ilvl="0">
      <w:lvlJc w:val="left"/>
      <w:lvlText w:val="(%1)"/>
      <w:numFmt w:val="lowerRoman"/>
      <w:start w:val="7"/>
    </w:lvl>
  </w:abstractNum>
  <w:abstractNum w:abstractNumId="34">
    <w:nsid w:val="39386575"/>
    <w:multiLevelType w:val="hybridMultilevel"/>
    <w:lvl w:ilvl="0">
      <w:lvlJc w:val="left"/>
      <w:lvlText w:val="%1"/>
      <w:numFmt w:val="decimal"/>
      <w:start w:val="1"/>
    </w:lvl>
    <w:lvl w:ilvl="1">
      <w:lvlJc w:val="left"/>
      <w:lvlText w:val="(%2)"/>
      <w:numFmt w:val="lowerLetter"/>
      <w:start w:val="2"/>
    </w:lvl>
  </w:abstractNum>
  <w:abstractNum w:abstractNumId="35">
    <w:nsid w:val="1CF10FD8"/>
    <w:multiLevelType w:val="hybridMultilevel"/>
    <w:lvl w:ilvl="0">
      <w:lvlJc w:val="left"/>
      <w:lvlText w:val="%1."/>
      <w:numFmt w:val="decimal"/>
      <w:start w:val="3"/>
    </w:lvl>
    <w:lvl w:ilvl="1">
      <w:lvlJc w:val="left"/>
      <w:lvlText w:val="(%2)"/>
      <w:numFmt w:val="lowerLetter"/>
      <w:start w:val="1"/>
    </w:lvl>
  </w:abstractNum>
  <w:abstractNum w:abstractNumId="36">
    <w:nsid w:val="180115BE"/>
    <w:multiLevelType w:val="hybridMultilevel"/>
    <w:lvl w:ilvl="0">
      <w:lvlJc w:val="left"/>
      <w:lvlText w:val="(%1)"/>
      <w:numFmt w:val="lowerLetter"/>
      <w:start w:val="2"/>
    </w:lvl>
    <w:lvl w:ilvl="1">
      <w:lvlJc w:val="left"/>
      <w:lvlText w:val="(%2)"/>
      <w:numFmt w:val="lowerRoman"/>
      <w:start w:val="1"/>
    </w:lvl>
  </w:abstractNum>
  <w:abstractNum w:abstractNumId="37">
    <w:nsid w:val="235BA861"/>
    <w:multiLevelType w:val="hybridMultilevel"/>
    <w:lvl w:ilvl="0">
      <w:lvlJc w:val="left"/>
      <w:lvlText w:val="(%1)"/>
      <w:numFmt w:val="lowerLetter"/>
      <w:start w:val="5"/>
    </w:lvl>
    <w:lvl w:ilvl="1">
      <w:lvlJc w:val="left"/>
      <w:lvlText w:val="%2."/>
      <w:numFmt w:val="decimal"/>
      <w:start w:val="3"/>
    </w:lvl>
    <w:lvl w:ilvl="2">
      <w:lvlJc w:val="left"/>
      <w:lvlText w:val="(%3)"/>
      <w:numFmt w:val="lowerRoman"/>
      <w:start w:val="1"/>
    </w:lvl>
  </w:abstractNum>
  <w:abstractNum w:abstractNumId="38">
    <w:nsid w:val="47398C8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39">
    <w:nsid w:val="354FE9F9"/>
    <w:multiLevelType w:val="hybridMultilevel"/>
    <w:lvl w:ilvl="0">
      <w:lvlJc w:val="left"/>
      <w:lvlText w:val="(%1)"/>
      <w:numFmt w:val="lowerLetter"/>
      <w:start w:val="3"/>
    </w:lvl>
    <w:lvl w:ilvl="1">
      <w:lvlJc w:val="left"/>
      <w:lvlText w:val="%2."/>
      <w:numFmt w:val="decimal"/>
      <w:start w:val="5"/>
    </w:lvl>
    <w:lvl w:ilvl="2">
      <w:lvlJc w:val="left"/>
      <w:lvlText w:val="%3"/>
      <w:numFmt w:val="lowerLetter"/>
      <w:start w:val="1"/>
    </w:lvl>
  </w:abstractNum>
  <w:abstractNum w:abstractNumId="40">
    <w:nsid w:val="15B5AF5C"/>
    <w:multiLevelType w:val="hybridMultilevel"/>
    <w:lvl w:ilvl="0">
      <w:lvlJc w:val="left"/>
      <w:lvlText w:val="%1."/>
      <w:numFmt w:val="decimal"/>
      <w:start w:val="6"/>
    </w:lvl>
  </w:abstractNum>
  <w:abstractNum w:abstractNumId="41">
    <w:nsid w:val="741226BB"/>
    <w:multiLevelType w:val="hybridMultilevel"/>
    <w:lvl w:ilvl="0">
      <w:lvlJc w:val="left"/>
      <w:lvlText w:val="%1"/>
      <w:numFmt w:val="lowerLetter"/>
      <w:start w:val="1"/>
    </w:lvl>
    <w:lvl w:ilvl="1">
      <w:lvlJc w:val="left"/>
      <w:lvlText w:val="%2."/>
      <w:numFmt w:val="decimal"/>
      <w:start w:val="7"/>
    </w:lvl>
    <w:lvl w:ilvl="2">
      <w:lvlJc w:val="left"/>
      <w:lvlText w:val="%3"/>
      <w:numFmt w:val="lowerRoman"/>
      <w:start w:val="1"/>
    </w:lvl>
  </w:abstractNum>
  <w:abstractNum w:abstractNumId="42">
    <w:nsid w:val="D34B6A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3">
    <w:nsid w:val="10233C99"/>
    <w:multiLevelType w:val="hybridMultilevel"/>
    <w:lvl w:ilvl="0">
      <w:lvlJc w:val="left"/>
      <w:lvlText w:val="%1"/>
      <w:numFmt w:val="lowerLetter"/>
      <w:start w:val="1"/>
    </w:lvl>
    <w:lvl w:ilvl="1">
      <w:lvlJc w:val="left"/>
      <w:lvlText w:val="%2."/>
      <w:numFmt w:val="decimal"/>
      <w:start w:val="8"/>
    </w:lvl>
    <w:lvl w:ilvl="2">
      <w:lvlJc w:val="left"/>
      <w:lvlText w:val="%3"/>
      <w:numFmt w:val="lowerRoman"/>
      <w:start w:val="1"/>
    </w:lvl>
  </w:abstractNum>
  <w:abstractNum w:abstractNumId="44">
    <w:nsid w:val="3F6AB60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5">
    <w:nsid w:val="6157409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46">
    <w:nsid w:val="7E0C57B1"/>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47">
    <w:nsid w:val="77AE35EB"/>
    <w:multiLevelType w:val="hybridMultilevel"/>
    <w:lvl w:ilvl="0">
      <w:lvlJc w:val="left"/>
      <w:lvlText w:val="%1."/>
      <w:numFmt w:val="decimal"/>
      <w:start w:val="10"/>
    </w:lvl>
  </w:abstractNum>
  <w:abstractNum w:abstractNumId="48">
    <w:nsid w:val="579BE4F1"/>
    <w:multiLevelType w:val="hybridMultilevel"/>
    <w:lvl w:ilvl="0">
      <w:lvlJc w:val="left"/>
      <w:lvlText w:val="(%1)"/>
      <w:numFmt w:val="lowerLetter"/>
      <w:start w:val="1"/>
    </w:lvl>
    <w:lvl w:ilvl="1">
      <w:lvlJc w:val="left"/>
      <w:lvlText w:val="%2."/>
      <w:numFmt w:val="decimal"/>
      <w:start w:val="11"/>
    </w:lvl>
  </w:abstractNum>
  <w:abstractNum w:abstractNumId="49">
    <w:nsid w:val="310C50B3"/>
    <w:multiLevelType w:val="hybridMultilevel"/>
    <w:lvl w:ilvl="0">
      <w:lvlJc w:val="left"/>
      <w:lvlText w:val="(%1)"/>
      <w:numFmt w:val="lowerLetter"/>
      <w:start w:val="1"/>
    </w:lvl>
    <w:lvl w:ilvl="1">
      <w:lvlJc w:val="left"/>
      <w:lvlText w:val="%2."/>
      <w:numFmt w:val="decimal"/>
      <w:start w:val="12"/>
    </w:lvl>
  </w:abstractNum>
  <w:abstractNum w:abstractNumId="50">
    <w:nsid w:val="5FF87E05"/>
    <w:multiLevelType w:val="hybridMultilevel"/>
    <w:lvl w:ilvl="0">
      <w:lvlJc w:val="left"/>
      <w:lvlText w:val="(%1)"/>
      <w:numFmt w:val="lowerLetter"/>
      <w:start w:val="1"/>
    </w:lvl>
  </w:abstractNum>
  <w:abstractNum w:abstractNumId="51">
    <w:nsid w:val="2F305DEF"/>
    <w:multiLevelType w:val="hybridMultilevel"/>
    <w:lvl w:ilvl="0">
      <w:lvlJc w:val="left"/>
      <w:lvlText w:val="(%1)"/>
      <w:numFmt w:val="lowerLetter"/>
      <w:start w:val="2"/>
    </w:lvl>
    <w:lvl w:ilvl="1">
      <w:lvlJc w:val="left"/>
      <w:lvlText w:val="%2."/>
      <w:numFmt w:val="decimal"/>
      <w:start w:val="13"/>
    </w:lvl>
  </w:abstractNum>
  <w:abstractNum w:abstractNumId="52">
    <w:nsid w:val="25A70BF7"/>
    <w:multiLevelType w:val="hybridMultilevel"/>
    <w:lvl w:ilvl="0">
      <w:lvlJc w:val="left"/>
      <w:lvlText w:val="(%1)"/>
      <w:numFmt w:val="lowerLetter"/>
      <w:start w:val="1"/>
    </w:lvl>
  </w:abstractNum>
  <w:abstractNum w:abstractNumId="53">
    <w:nsid w:val="1DBABF00"/>
    <w:multiLevelType w:val="hybridMultilevel"/>
    <w:lvl w:ilvl="0">
      <w:lvlJc w:val="left"/>
      <w:lvlText w:val="%1."/>
      <w:numFmt w:val="decimal"/>
      <w:start w:val="14"/>
    </w:lvl>
    <w:lvl w:ilvl="1">
      <w:lvlJc w:val="left"/>
      <w:lvlText w:val="(%2)"/>
      <w:numFmt w:val="lowerLetter"/>
      <w:start w:val="1"/>
    </w:lvl>
  </w:abstractNum>
  <w:abstractNum w:abstractNumId="54">
    <w:nsid w:val="4AD084E9"/>
    <w:multiLevelType w:val="hybridMultilevel"/>
    <w:lvl w:ilvl="0">
      <w:lvlJc w:val="left"/>
      <w:lvlText w:val="%1"/>
      <w:numFmt w:val="decimal"/>
      <w:start w:val="1"/>
    </w:lvl>
    <w:lvl w:ilvl="1">
      <w:lvlJc w:val="left"/>
      <w:lvlText w:val="(%2)"/>
      <w:numFmt w:val="lowerLetter"/>
      <w:start w:val="2"/>
    </w:lvl>
  </w:abstractNum>
  <w:abstractNum w:abstractNumId="55">
    <w:nsid w:val="1F48EAA1"/>
    <w:multiLevelType w:val="hybridMultilevel"/>
    <w:lvl w:ilvl="0">
      <w:lvlJc w:val="left"/>
      <w:lvlText w:val="%1."/>
      <w:numFmt w:val="decimal"/>
      <w:start w:val="15"/>
    </w:lvl>
    <w:lvl w:ilvl="1">
      <w:lvlJc w:val="left"/>
      <w:lvlText w:val="(%2)"/>
      <w:numFmt w:val="lowerLetter"/>
      <w:start w:val="1"/>
    </w:lvl>
  </w:abstractNum>
  <w:abstractNum w:abstractNumId="56">
    <w:nsid w:val="1381823A"/>
    <w:multiLevelType w:val="hybridMultilevel"/>
    <w:lvl w:ilvl="0">
      <w:lvlJc w:val="left"/>
      <w:lvlText w:val="(%1)"/>
      <w:numFmt w:val="lowerLetter"/>
      <w:start w:val="4"/>
    </w:lvl>
  </w:abstractNum>
  <w:abstractNum w:abstractNumId="57">
    <w:nsid w:val="5DB70AE5"/>
    <w:multiLevelType w:val="hybridMultilevel"/>
    <w:lvl w:ilvl="0">
      <w:lvlJc w:val="left"/>
      <w:lvlText w:val="(%1)"/>
      <w:numFmt w:val="lowerLetter"/>
      <w:start w:val="6"/>
    </w:lvl>
  </w:abstractNum>
  <w:abstractNum w:abstractNumId="58">
    <w:nsid w:val="100F8FCA"/>
    <w:multiLevelType w:val="hybridMultilevel"/>
    <w:lvl w:ilvl="0">
      <w:lvlJc w:val="left"/>
      <w:lvlText w:val="(%1)"/>
      <w:numFmt w:val="lowerRoman"/>
      <w:start w:val="1"/>
    </w:lvl>
  </w:abstractNum>
  <w:abstractNum w:abstractNumId="59">
    <w:nsid w:val="6590700B"/>
    <w:multiLevelType w:val="hybridMultilevel"/>
    <w:lvl w:ilvl="0">
      <w:lvlJc w:val="left"/>
      <w:lvlText w:val="(%1)"/>
      <w:numFmt w:val="lowerRoman"/>
      <w:start w:val="2"/>
    </w:lvl>
  </w:abstractNum>
  <w:abstractNum w:abstractNumId="60">
    <w:nsid w:val="15014ACB"/>
    <w:multiLevelType w:val="hybridMultilevel"/>
    <w:lvl w:ilvl="0">
      <w:lvlJc w:val="left"/>
      <w:lvlText w:val="%1."/>
      <w:numFmt w:val="upperLetter"/>
      <w:start w:val="1"/>
    </w:lvl>
  </w:abstractNum>
  <w:abstractNum w:abstractNumId="61">
    <w:nsid w:val="5F5E7FD0"/>
    <w:multiLevelType w:val="hybridMultilevel"/>
    <w:lvl w:ilvl="0">
      <w:lvlJc w:val="left"/>
      <w:lvlText w:val="%1."/>
      <w:numFmt w:val="upperLetter"/>
      <w:start w:val="1"/>
    </w:lvl>
  </w:abstractNum>
  <w:abstractNum w:abstractNumId="62">
    <w:nsid w:val="98A3148"/>
    <w:multiLevelType w:val="hybridMultilevel"/>
    <w:lvl w:ilvl="0">
      <w:lvlJc w:val="left"/>
      <w:lvlText w:val="□"/>
      <w:numFmt w:val="bullet"/>
      <w:start w:val="1"/>
    </w:lvl>
  </w:abstractNum>
  <w:abstractNum w:abstractNumId="63">
    <w:nsid w:val="799D0247"/>
    <w:multiLevelType w:val="hybridMultilevel"/>
    <w:lvl w:ilvl="0">
      <w:lvlJc w:val="left"/>
      <w:lvlText w:val="□"/>
      <w:numFmt w:val="bullet"/>
      <w:start w:val="1"/>
    </w:lvl>
  </w:abstractNum>
  <w:abstractNum w:abstractNumId="64">
    <w:nsid w:val="6B94764"/>
    <w:multiLevelType w:val="hybridMultilevel"/>
    <w:lvl w:ilvl="0">
      <w:lvlJc w:val="left"/>
      <w:lvlText w:val="%1."/>
      <w:numFmt w:val="decimal"/>
      <w:start w:val="1"/>
    </w:lvl>
  </w:abstractNum>
  <w:abstractNum w:abstractNumId="65">
    <w:nsid w:val="42C296BD"/>
    <w:multiLevelType w:val="hybridMultilevel"/>
    <w:lvl w:ilvl="0">
      <w:lvlJc w:val="left"/>
      <w:lvlText w:val="%1."/>
      <w:numFmt w:val="decimal"/>
      <w:start w:val="3"/>
    </w:lvl>
  </w:abstractNum>
  <w:abstractNum w:abstractNumId="66">
    <w:nsid w:val="168E121F"/>
    <w:multiLevelType w:val="hybridMultilevel"/>
    <w:lvl w:ilvl="0">
      <w:lvlJc w:val="left"/>
      <w:lvlText w:val="%1)"/>
      <w:numFmt w:val="lowerLetter"/>
      <w:start w:val="1"/>
    </w:lvl>
  </w:abstractNum>
  <w:abstractNum w:abstractNumId="67">
    <w:nsid w:val="1EBA5D23"/>
    <w:multiLevelType w:val="hybridMultilevel"/>
    <w:lvl w:ilvl="0">
      <w:lvlJc w:val="left"/>
      <w:lvlText w:val="%1)"/>
      <w:numFmt w:val="lowerLetter"/>
      <w:start w:val="2"/>
    </w:lvl>
  </w:abstractNum>
  <w:abstractNum w:abstractNumId="68">
    <w:nsid w:val="661E3F1E"/>
    <w:multiLevelType w:val="hybridMultilevel"/>
    <w:lvl w:ilvl="0">
      <w:lvlJc w:val="left"/>
      <w:lvlText w:val="%1)"/>
      <w:numFmt w:val="lowerLetter"/>
      <w:start w:val="3"/>
    </w:lvl>
  </w:abstractNum>
  <w:abstractNum w:abstractNumId="69">
    <w:nsid w:val="5DC79EA8"/>
    <w:multiLevelType w:val="hybridMultilevel"/>
    <w:lvl w:ilvl="0">
      <w:lvlJc w:val="left"/>
      <w:lvlText w:val="%1."/>
      <w:numFmt w:val="decimal"/>
      <w:start w:val="5"/>
    </w:lvl>
    <w:lvl w:ilvl="1">
      <w:lvlJc w:val="left"/>
      <w:lvlText w:val="%2)"/>
      <w:numFmt w:val="lowerLetter"/>
      <w:start w:val="1"/>
    </w:lvl>
  </w:abstractNum>
  <w:abstractNum w:abstractNumId="70">
    <w:nsid w:val="540A471C"/>
    <w:multiLevelType w:val="hybridMultilevel"/>
    <w:lvl w:ilvl="0">
      <w:lvlJc w:val="left"/>
      <w:lvlText w:val="%1."/>
      <w:numFmt w:val="decimal"/>
      <w:start w:val="1"/>
    </w:lvl>
  </w:abstractNum>
  <w:abstractNum w:abstractNumId="71">
    <w:nsid w:val="7BD3EE7B"/>
    <w:multiLevelType w:val="hybridMultilevel"/>
    <w:lvl w:ilvl="0">
      <w:lvlJc w:val="left"/>
      <w:lvlText w:val="%1."/>
      <w:numFmt w:val="decimal"/>
      <w:start w:val="3"/>
    </w:lvl>
  </w:abstractNum>
  <w:abstractNum w:abstractNumId="72">
    <w:nsid w:val="51D9C564"/>
    <w:multiLevelType w:val="hybridMultilevel"/>
    <w:lvl w:ilvl="0">
      <w:lvlJc w:val="left"/>
      <w:lvlText w:val="%1)"/>
      <w:numFmt w:val="lowerLetter"/>
      <w:start w:val="1"/>
    </w:lvl>
  </w:abstractNum>
  <w:abstractNum w:abstractNumId="73">
    <w:nsid w:val="613EFDC5"/>
    <w:multiLevelType w:val="hybridMultilevel"/>
    <w:lvl w:ilvl="0">
      <w:lvlJc w:val="left"/>
      <w:lvlText w:val="%1)"/>
      <w:numFmt w:val="lowerLetter"/>
      <w:start w:val="2"/>
    </w:lvl>
  </w:abstractNum>
  <w:abstractNum w:abstractNumId="74">
    <w:nsid w:val="BF72B14"/>
    <w:multiLevelType w:val="hybridMultilevel"/>
    <w:lvl w:ilvl="0">
      <w:lvlJc w:val="left"/>
      <w:lvlText w:val="%1)"/>
      <w:numFmt w:val="lowerLetter"/>
      <w:start w:val="3"/>
    </w:lvl>
  </w:abstractNum>
  <w:abstractNum w:abstractNumId="75">
    <w:nsid w:val="11447B73"/>
    <w:multiLevelType w:val="hybridMultilevel"/>
    <w:lvl w:ilvl="0">
      <w:lvlJc w:val="left"/>
      <w:lvlText w:val="%1."/>
      <w:numFmt w:val="decimal"/>
      <w:start w:val="5"/>
    </w:lvl>
    <w:lvl w:ilvl="1">
      <w:lvlJc w:val="left"/>
      <w:lvlText w:val="%2)"/>
      <w:numFmt w:val="lowerLetter"/>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2019-12-28T13:22:55Z</dcterms:created>
  <dcterms:modified xsi:type="dcterms:W3CDTF">2019-12-28T13:22:55Z</dcterms:modified>
</cp:coreProperties>
</file>