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355"/>
        </w:trPr>
        <w:tc>
          <w:tcPr>
            <w:tcW w:w="2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60" w:type="dxa"/>
            <w:vAlign w:val="bottom"/>
            <w:gridSpan w:val="2"/>
          </w:tcPr>
          <w:p>
            <w:pPr>
              <w:jc w:val="center"/>
              <w:ind w:right="2670"/>
              <w:spacing w:after="0"/>
              <w:rPr>
                <w:sz w:val="20"/>
                <w:szCs w:val="20"/>
                <w:color w:val="auto"/>
              </w:rPr>
            </w:pPr>
            <w:r>
              <w:rPr>
                <w:rFonts w:ascii="Arial" w:cs="Arial" w:eastAsia="Arial" w:hAnsi="Arial"/>
                <w:sz w:val="29"/>
                <w:szCs w:val="29"/>
                <w:b w:val="1"/>
                <w:bCs w:val="1"/>
                <w:color w:val="auto"/>
              </w:rPr>
              <w:t>VERACYTE, INC.</w:t>
            </w:r>
          </w:p>
        </w:tc>
      </w:tr>
      <w:tr>
        <w:trPr>
          <w:trHeight w:val="230"/>
        </w:trPr>
        <w:tc>
          <w:tcPr>
            <w:tcW w:w="2440" w:type="dxa"/>
            <w:vAlign w:val="bottom"/>
          </w:tcPr>
          <w:p>
            <w:pPr>
              <w:spacing w:after="0"/>
              <w:rPr>
                <w:sz w:val="20"/>
                <w:szCs w:val="20"/>
                <w:color w:val="auto"/>
              </w:rPr>
            </w:pPr>
          </w:p>
        </w:tc>
        <w:tc>
          <w:tcPr>
            <w:tcW w:w="6280" w:type="dxa"/>
            <w:vAlign w:val="bottom"/>
            <w:gridSpan w:val="3"/>
          </w:tcPr>
          <w:p>
            <w:pPr>
              <w:jc w:val="center"/>
              <w:ind w:right="19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175"/>
        </w:trPr>
        <w:tc>
          <w:tcPr>
            <w:tcW w:w="2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r>
      <w:tr>
        <w:trPr>
          <w:trHeight w:val="465"/>
        </w:trPr>
        <w:tc>
          <w:tcPr>
            <w:tcW w:w="2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6280" w:type="dxa"/>
            <w:vAlign w:val="bottom"/>
            <w:gridSpan w:val="3"/>
          </w:tcPr>
          <w:p>
            <w:pPr>
              <w:jc w:val="center"/>
              <w:ind w:left="4850"/>
              <w:spacing w:after="0"/>
              <w:rPr>
                <w:sz w:val="20"/>
                <w:szCs w:val="20"/>
                <w:color w:val="auto"/>
              </w:rPr>
            </w:pPr>
            <w:r>
              <w:rPr>
                <w:rFonts w:ascii="Arial" w:cs="Arial" w:eastAsia="Arial" w:hAnsi="Arial"/>
                <w:sz w:val="18"/>
                <w:szCs w:val="18"/>
                <w:b w:val="1"/>
                <w:bCs w:val="1"/>
                <w:color w:val="auto"/>
                <w:w w:val="89"/>
              </w:rPr>
              <w:t>20-5455398</w:t>
            </w:r>
          </w:p>
        </w:tc>
      </w:tr>
      <w:tr>
        <w:trPr>
          <w:trHeight w:val="216"/>
        </w:trPr>
        <w:tc>
          <w:tcPr>
            <w:tcW w:w="2440" w:type="dxa"/>
            <w:vAlign w:val="bottom"/>
          </w:tcPr>
          <w:p>
            <w:pPr>
              <w:jc w:val="center"/>
              <w:ind w:right="170"/>
              <w:spacing w:after="0"/>
              <w:rPr>
                <w:sz w:val="20"/>
                <w:szCs w:val="20"/>
                <w:color w:val="auto"/>
              </w:rPr>
            </w:pPr>
            <w:r>
              <w:rPr>
                <w:rFonts w:ascii="Arial" w:cs="Arial" w:eastAsia="Arial" w:hAnsi="Arial"/>
                <w:sz w:val="18"/>
                <w:szCs w:val="18"/>
                <w:color w:val="auto"/>
                <w:w w:val="93"/>
              </w:rPr>
              <w:t>(State or other jurisdiction of</w:t>
            </w:r>
          </w:p>
        </w:tc>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2"/>
              </w:rPr>
              <w:t>(I.R.S. Employer</w:t>
            </w:r>
          </w:p>
        </w:tc>
      </w:tr>
      <w:tr>
        <w:trPr>
          <w:trHeight w:val="230"/>
        </w:trPr>
        <w:tc>
          <w:tcPr>
            <w:tcW w:w="2440" w:type="dxa"/>
            <w:vAlign w:val="bottom"/>
          </w:tcPr>
          <w:p>
            <w:pPr>
              <w:jc w:val="center"/>
              <w:ind w:right="170"/>
              <w:spacing w:after="0"/>
              <w:rPr>
                <w:sz w:val="20"/>
                <w:szCs w:val="20"/>
                <w:color w:val="auto"/>
              </w:rPr>
            </w:pPr>
            <w:r>
              <w:rPr>
                <w:rFonts w:ascii="Arial" w:cs="Arial" w:eastAsia="Arial" w:hAnsi="Arial"/>
                <w:sz w:val="18"/>
                <w:szCs w:val="18"/>
                <w:color w:val="auto"/>
                <w:w w:val="93"/>
              </w:rPr>
              <w:t>incorporation or organization)</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6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0"/>
              </w:rPr>
              <w:t>6000 Shoreline Court, Suite 300</w:t>
            </w:r>
          </w:p>
        </w:tc>
      </w:tr>
      <w:tr>
        <w:trPr>
          <w:trHeight w:val="220"/>
        </w:trPr>
        <w:tc>
          <w:tcPr>
            <w:tcW w:w="2440" w:type="dxa"/>
            <w:vAlign w:val="bottom"/>
          </w:tcPr>
          <w:p>
            <w:pPr>
              <w:spacing w:after="0"/>
              <w:rPr>
                <w:sz w:val="19"/>
                <w:szCs w:val="19"/>
                <w:color w:val="auto"/>
              </w:rPr>
            </w:pPr>
          </w:p>
        </w:tc>
        <w:tc>
          <w:tcPr>
            <w:tcW w:w="6280" w:type="dxa"/>
            <w:vAlign w:val="bottom"/>
            <w:gridSpan w:val="3"/>
          </w:tcPr>
          <w:p>
            <w:pPr>
              <w:jc w:val="center"/>
              <w:ind w:right="195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30"/>
        </w:trPr>
        <w:tc>
          <w:tcPr>
            <w:tcW w:w="2440" w:type="dxa"/>
            <w:vAlign w:val="bottom"/>
          </w:tcPr>
          <w:p>
            <w:pPr>
              <w:spacing w:after="0"/>
              <w:rPr>
                <w:sz w:val="20"/>
                <w:szCs w:val="20"/>
                <w:color w:val="auto"/>
              </w:rPr>
            </w:pPr>
          </w:p>
        </w:tc>
        <w:tc>
          <w:tcPr>
            <w:tcW w:w="6280" w:type="dxa"/>
            <w:vAlign w:val="bottom"/>
            <w:gridSpan w:val="3"/>
          </w:tcPr>
          <w:p>
            <w:pPr>
              <w:jc w:val="center"/>
              <w:ind w:right="1950"/>
              <w:spacing w:after="0"/>
              <w:rPr>
                <w:sz w:val="20"/>
                <w:szCs w:val="20"/>
                <w:color w:val="auto"/>
              </w:rPr>
            </w:pPr>
            <w:r>
              <w:rPr>
                <w:rFonts w:ascii="Arial" w:cs="Arial" w:eastAsia="Arial" w:hAnsi="Arial"/>
                <w:sz w:val="18"/>
                <w:szCs w:val="18"/>
                <w:color w:val="auto"/>
                <w:w w:val="92"/>
              </w:rPr>
              <w:t>(Address of principal executive offices, 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4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44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2" w:right="339" w:bottom="1078" w:gutter="0" w:footer="0" w:header="0"/>
        </w:sectPr>
      </w:pPr>
    </w:p>
    <w:p>
      <w:pPr>
        <w:spacing w:after="0" w:line="3" w:lineRule="exact"/>
        <w:rPr>
          <w:sz w:val="24"/>
          <w:szCs w:val="24"/>
          <w:color w:val="auto"/>
        </w:rPr>
      </w:pPr>
    </w:p>
    <w:p>
      <w:pPr>
        <w:ind w:left="18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7" w:lineRule="exact"/>
        <w:rPr>
          <w:sz w:val="24"/>
          <w:szCs w:val="24"/>
          <w:color w:val="auto"/>
        </w:rPr>
      </w:pPr>
    </w:p>
    <w:p>
      <w:pPr>
        <w:sectPr>
          <w:pgSz w:w="11900" w:h="16838" w:orient="portrait"/>
          <w:cols w:equalWidth="0" w:num="2">
            <w:col w:w="7100" w:space="720"/>
            <w:col w:w="3420"/>
          </w:cols>
          <w:pgMar w:left="320" w:top="692" w:right="339" w:bottom="1078" w:gutter="0" w:footer="0" w:header="0"/>
          <w:type w:val="continuous"/>
        </w:sectPr>
      </w:pPr>
    </w:p>
    <w:p>
      <w:pPr>
        <w:ind w:left="18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6720" w:space="720"/>
            <w:col w:w="3800"/>
          </w:cols>
          <w:pgMar w:left="320" w:top="692" w:right="339" w:bottom="1078" w:gutter="0" w:footer="0" w:header="0"/>
          <w:type w:val="continuous"/>
        </w:sectPr>
      </w:pPr>
    </w:p>
    <w:p>
      <w:pPr>
        <w:ind w:left="74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92" w:right="339" w:bottom="1078" w:gutter="0" w:footer="0" w:header="0"/>
          <w:type w:val="continuous"/>
        </w:sectPr>
      </w:pPr>
    </w:p>
    <w:p>
      <w:pPr>
        <w:spacing w:after="0" w:line="321" w:lineRule="exact"/>
        <w:rPr>
          <w:sz w:val="24"/>
          <w:szCs w:val="24"/>
          <w:color w:val="auto"/>
        </w:rPr>
      </w:pPr>
    </w:p>
    <w:p>
      <w:pPr>
        <w:ind w:right="260" w:firstLine="243"/>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July 23, 2020, there were 50,582,246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078" w:gutter="0" w:footer="0" w:header="0"/>
          <w:type w:val="continuous"/>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4"/>
        </w:trPr>
        <w:tc>
          <w:tcPr>
            <w:tcW w:w="8000" w:type="dxa"/>
            <w:vAlign w:val="bottom"/>
            <w:gridSpan w:val="3"/>
            <w:vMerge w:val="restart"/>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 FINANCIAL INFORMATION</w:t>
              </w:r>
            </w:hyperlink>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No.</w:t>
            </w:r>
          </w:p>
        </w:tc>
        <w:tc>
          <w:tcPr>
            <w:tcW w:w="0" w:type="dxa"/>
            <w:vAlign w:val="bottom"/>
          </w:tcPr>
          <w:p>
            <w:pPr>
              <w:spacing w:after="0"/>
              <w:rPr>
                <w:sz w:val="1"/>
                <w:szCs w:val="1"/>
                <w:color w:val="auto"/>
              </w:rPr>
            </w:pPr>
          </w:p>
        </w:tc>
      </w:tr>
      <w:tr>
        <w:trPr>
          <w:trHeight w:val="195"/>
        </w:trPr>
        <w:tc>
          <w:tcPr>
            <w:tcW w:w="8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Condensed Consolidated Financial Statements (Unaudited)</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6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as of June 30, 2020 and December 31, 2019</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006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Six Month Periods Ended June 30, 2020 and</w:t>
              </w:r>
            </w:hyperlink>
          </w:p>
        </w:tc>
        <w:tc>
          <w:tcPr>
            <w:tcW w:w="8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ind w:left="340"/>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2019</w:t>
              </w:r>
            </w:hyperlink>
          </w:p>
        </w:tc>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5"/>
          </w:tcPr>
          <w:p>
            <w:pPr>
              <w:jc w:val="right"/>
              <w:ind w:right="20"/>
              <w:spacing w:after="0" w:line="196"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9320" w:type="dxa"/>
            <w:vAlign w:val="bottom"/>
            <w:gridSpan w:val="5"/>
          </w:tcPr>
          <w:p>
            <w:pPr>
              <w:spacing w:after="0"/>
              <w:rPr>
                <w:rFonts w:ascii="Arial" w:cs="Arial" w:eastAsia="Arial" w:hAnsi="Arial"/>
                <w:sz w:val="18"/>
                <w:szCs w:val="18"/>
                <w:u w:val="single" w:color="auto"/>
                <w:color w:val="0000EE"/>
                <w:w w:val="89"/>
              </w:rPr>
            </w:pPr>
            <w:hyperlink w:anchor="page3">
              <w:r>
                <w:rPr>
                  <w:rFonts w:ascii="Arial" w:cs="Arial" w:eastAsia="Arial" w:hAnsi="Arial"/>
                  <w:sz w:val="18"/>
                  <w:szCs w:val="18"/>
                  <w:u w:val="single" w:color="auto"/>
                  <w:color w:val="0000EE"/>
                  <w:w w:val="89"/>
                </w:rPr>
                <w:t>Condensed Consolidated Statements of Stockholders' Equity for the Three and Six Month Periods Ended June 30, 2020 and 2019</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3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Cash Flows for the Six Month Periods Ended June 30, 2020 and 2019</w:t>
              </w:r>
            </w:hyperlink>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6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Condensed Consolidated Financial Statements</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Quantitative and Qualitative Disclosures About Market Risk</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35</w:t>
              </w:r>
            </w:hyperlink>
          </w:p>
        </w:tc>
        <w:tc>
          <w:tcPr>
            <w:tcW w:w="0" w:type="dxa"/>
            <w:vAlign w:val="bottom"/>
          </w:tcPr>
          <w:p>
            <w:pPr>
              <w:spacing w:after="0"/>
              <w:rPr>
                <w:sz w:val="1"/>
                <w:szCs w:val="1"/>
                <w:color w:val="auto"/>
              </w:rPr>
            </w:pPr>
          </w:p>
        </w:tc>
      </w:tr>
      <w:tr>
        <w:trPr>
          <w:trHeight w:val="212"/>
        </w:trPr>
        <w:tc>
          <w:tcPr>
            <w:tcW w:w="8000" w:type="dxa"/>
            <w:vAlign w:val="bottom"/>
            <w:gridSpan w:val="3"/>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 Controls and Procedures</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35</w:t>
              </w:r>
            </w:hyperlink>
          </w:p>
        </w:tc>
        <w:tc>
          <w:tcPr>
            <w:tcW w:w="0" w:type="dxa"/>
            <w:vAlign w:val="bottom"/>
          </w:tcPr>
          <w:p>
            <w:pPr>
              <w:spacing w:after="0"/>
              <w:rPr>
                <w:sz w:val="1"/>
                <w:szCs w:val="1"/>
                <w:color w:val="auto"/>
              </w:rPr>
            </w:pPr>
          </w:p>
        </w:tc>
      </w:tr>
      <w:tr>
        <w:trPr>
          <w:trHeight w:val="220"/>
        </w:trPr>
        <w:tc>
          <w:tcPr>
            <w:tcW w:w="8000" w:type="dxa"/>
            <w:vAlign w:val="bottom"/>
            <w:gridSpan w:val="3"/>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 OTHER INFORMATION</w:t>
              </w:r>
            </w:hyperlink>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 Risk Factors</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6. Exhibits</w:t>
              </w:r>
            </w:hyperlink>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63</w:t>
              </w:r>
            </w:hyperlink>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SIGNATURES</w:t>
              </w:r>
            </w:hyperlink>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5"/>
          </w:tcPr>
          <w:p>
            <w:pPr>
              <w:jc w:val="right"/>
              <w:ind w:righ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469"/>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67"/>
              <w:spacing w:after="0"/>
              <w:rPr>
                <w:sz w:val="20"/>
                <w:szCs w:val="20"/>
                <w:color w:val="auto"/>
              </w:rPr>
            </w:pPr>
            <w:r>
              <w:rPr>
                <w:rFonts w:ascii="Arial" w:cs="Arial" w:eastAsia="Arial" w:hAnsi="Arial"/>
                <w:sz w:val="22"/>
                <w:szCs w:val="22"/>
                <w:color w:val="auto"/>
              </w:rPr>
              <w:t>i</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0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47"/>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07"/>
              <w:spacing w:after="0"/>
              <w:rPr>
                <w:sz w:val="20"/>
                <w:szCs w:val="20"/>
                <w:color w:val="auto"/>
              </w:rPr>
            </w:pPr>
            <w:r>
              <w:rPr>
                <w:rFonts w:ascii="Arial" w:cs="Arial" w:eastAsia="Arial" w:hAnsi="Arial"/>
                <w:sz w:val="18"/>
                <w:szCs w:val="18"/>
                <w:b w:val="1"/>
                <w:bCs w:val="1"/>
                <w:color w:val="auto"/>
              </w:rPr>
              <w:t>VERACYTE,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07"/>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67"/>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jc w:val="center"/>
              <w:ind w:left="2447"/>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86"/>
              </w:rPr>
              <w:t>(See 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147,450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159,317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15,306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19,329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Supplies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172,688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187,687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8,640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 - operating lease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8,808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Finite-lived intangible assets, net</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62,471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65,019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256,737</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275,212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9,386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13,105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17,469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Acquisition-related contingent consideration</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5,948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6,088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30,590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35,757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Preferred stock, $0.001 par value; 5,000,000 shares authorized, no shares issued and outstanding as of</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June 30, 2020 and December 31, 2019</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6"/>
              </w:rPr>
              <w:t>Common stock, $0.001 par value; 125,000,000 shares authorized, 50,446,104 and 49,625,341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as of June 30, 2020 and December 31, 2019, respectively</w:t>
            </w: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-6948805</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-6957060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823"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486,090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(269,426)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(246,685)</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256,737</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275,212</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7360" w:type="dxa"/>
            <w:vAlign w:val="bottom"/>
            <w:gridSpan w:val="5"/>
          </w:tcPr>
          <w:p>
            <w:pPr>
              <w:jc w:val="center"/>
              <w:ind w:left="3790"/>
              <w:spacing w:after="0"/>
              <w:rPr>
                <w:sz w:val="20"/>
                <w:szCs w:val="20"/>
                <w:color w:val="auto"/>
              </w:rPr>
            </w:pPr>
            <w:r>
              <w:rPr>
                <w:rFonts w:ascii="Arial" w:cs="Arial" w:eastAsia="Arial" w:hAnsi="Arial"/>
                <w:sz w:val="18"/>
                <w:szCs w:val="18"/>
                <w:b w:val="1"/>
                <w:bCs w:val="1"/>
                <w:color w:val="auto"/>
              </w:rPr>
              <w:t>VERACYTE, INC.</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8"/>
          </w:tcPr>
          <w:p>
            <w:pPr>
              <w:jc w:val="center"/>
              <w:ind w:left="24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Loss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22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40" w:type="dxa"/>
            <w:vAlign w:val="bottom"/>
            <w:gridSpan w:val="6"/>
          </w:tcPr>
          <w:p>
            <w:pPr>
              <w:jc w:val="center"/>
              <w:ind w:left="35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4"/>
                <w:szCs w:val="2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Testing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15,212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42,203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52,075</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Biopharmaceutical revenue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3,779</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5,590</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
        </w:trPr>
        <w:tc>
          <w:tcPr>
            <w:tcW w:w="50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20,704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30,136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51,826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59,665</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Cost of testing 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6,471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17,039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Cost of biopharmaceutical 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10,701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26,420</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1,273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64,832</w:t>
            </w:r>
          </w:p>
        </w:tc>
      </w:tr>
      <w:tr>
        <w:trPr>
          <w:trHeight w:val="20"/>
        </w:trPr>
        <w:tc>
          <w:tcPr>
            <w:tcW w:w="50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(11,051)</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(23,251)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(4,411)</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080" w:type="dxa"/>
            <w:vAlign w:val="bottom"/>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(0.22)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(0.05)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(0.45)</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(0.10)</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9"/>
              </w:rPr>
              <w:t>Shares used to compute net loss per common share, basic and diluted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50,212,123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0"/>
              </w:rPr>
              <w:t>45,586,081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50,002,377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43,389,540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680" w:type="dxa"/>
            <w:vAlign w:val="bottom"/>
          </w:tcPr>
          <w:p>
            <w:pPr>
              <w:spacing w:after="0"/>
              <w:rPr>
                <w:sz w:val="24"/>
                <w:szCs w:val="24"/>
                <w:color w:val="auto"/>
              </w:rPr>
            </w:pPr>
          </w:p>
        </w:tc>
        <w:tc>
          <w:tcPr>
            <w:tcW w:w="170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rPr>
              <w:t>VERACYTE, INC.</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0"/>
          </w:tcPr>
          <w:p>
            <w:pPr>
              <w:jc w:val="center"/>
              <w:ind w:left="247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4"/>
                <w:szCs w:val="24"/>
                <w:color w:val="auto"/>
              </w:rPr>
            </w:pPr>
          </w:p>
        </w:tc>
        <w:tc>
          <w:tcPr>
            <w:tcW w:w="156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488,773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(258,401)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230,422</w:t>
            </w:r>
          </w:p>
        </w:tc>
        <w:tc>
          <w:tcPr>
            <w:tcW w:w="0" w:type="dxa"/>
            <w:vAlign w:val="bottom"/>
          </w:tcPr>
          <w:p>
            <w:pPr>
              <w:spacing w:after="0"/>
              <w:rPr>
                <w:sz w:val="1"/>
                <w:szCs w:val="1"/>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upon exercise of stock options and</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3,764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portion of vested restricted stock units</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Stock-based compensation expense (employee)</w:t>
            </w: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(non-employee)</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Stock-based compensation expense (ESPP)</w:t>
            </w: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50,446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495,523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(269,426)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226,147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49,625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486,090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(246,685)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239,455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common stock upon exercise of stock options and</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76"/>
        </w:trPr>
        <w:tc>
          <w:tcPr>
            <w:tcW w:w="4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under employee stock purchase plan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(ESPP)</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Tax portion of vested restricted stock units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 (ESPP)</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920" w:type="dxa"/>
            <w:vAlign w:val="bottom"/>
          </w:tcPr>
          <w:p>
            <w:pPr>
              <w:jc w:val="right"/>
              <w:spacing w:after="0"/>
              <w:rPr>
                <w:sz w:val="20"/>
                <w:szCs w:val="20"/>
                <w:color w:val="auto"/>
              </w:rPr>
            </w:pPr>
            <w:r>
              <w:rPr>
                <w:rFonts w:ascii="Arial" w:cs="Arial" w:eastAsia="Arial" w:hAnsi="Arial"/>
                <w:sz w:val="18"/>
                <w:szCs w:val="18"/>
                <w:color w:val="auto"/>
              </w:rPr>
              <w:t>50,446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495,523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(269,426)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226,147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080" w:type="dxa"/>
            <w:vAlign w:val="bottom"/>
          </w:tcPr>
          <w:p>
            <w:pPr>
              <w:spacing w:after="0"/>
              <w:rPr>
                <w:sz w:val="24"/>
                <w:szCs w:val="24"/>
                <w:color w:val="auto"/>
              </w:rPr>
            </w:pPr>
          </w:p>
        </w:tc>
        <w:tc>
          <w:tcPr>
            <w:tcW w:w="230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83,772</w:t>
            </w: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w w:val="96"/>
              </w:rPr>
              <w:t>Sale of common stock in a public offering, net of issuance costs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$9,208</w:t>
            </w:r>
          </w:p>
        </w:tc>
        <w:tc>
          <w:tcPr>
            <w:tcW w:w="920" w:type="dxa"/>
            <w:vAlign w:val="bottom"/>
          </w:tcPr>
          <w:p>
            <w:pPr>
              <w:jc w:val="right"/>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137,842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exercise of stock options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Tax portion of vested 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(employee)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 (non-employee)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(ESPP)</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48,255</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462,689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(238,497)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224,240</w:t>
            </w: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w w:val="96"/>
              </w:rPr>
              <w:t>Sale of common stock in a public offering, net of issuance costs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$9,208</w:t>
            </w:r>
          </w:p>
        </w:tc>
        <w:tc>
          <w:tcPr>
            <w:tcW w:w="920" w:type="dxa"/>
            <w:vAlign w:val="bottom"/>
          </w:tcPr>
          <w:p>
            <w:pPr>
              <w:jc w:val="right"/>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137,842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exercise of stock options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Issuance of common stock under ESPP</w:t>
            </w: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Tax portion of vested restricted stock units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 (ESPP)</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20" w:type="dxa"/>
            <w:vAlign w:val="bottom"/>
          </w:tcPr>
          <w:p>
            <w:pPr>
              <w:jc w:val="right"/>
              <w:spacing w:after="0"/>
              <w:rPr>
                <w:sz w:val="20"/>
                <w:szCs w:val="20"/>
                <w:color w:val="auto"/>
              </w:rPr>
            </w:pPr>
            <w:r>
              <w:rPr>
                <w:rFonts w:ascii="Arial" w:cs="Arial" w:eastAsia="Arial" w:hAnsi="Arial"/>
                <w:sz w:val="18"/>
                <w:szCs w:val="18"/>
                <w:color w:val="auto"/>
              </w:rPr>
              <w:t>48,255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462,689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(238,497)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224,240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000" w:type="dxa"/>
            <w:vAlign w:val="bottom"/>
          </w:tcPr>
          <w:p>
            <w:pPr>
              <w:ind w:left="4840"/>
              <w:spacing w:after="0"/>
              <w:rPr>
                <w:sz w:val="20"/>
                <w:szCs w:val="20"/>
                <w:color w:val="auto"/>
              </w:rPr>
            </w:pPr>
            <w:r>
              <w:rPr>
                <w:rFonts w:ascii="Arial" w:cs="Arial" w:eastAsia="Arial" w:hAnsi="Arial"/>
                <w:sz w:val="18"/>
                <w:szCs w:val="18"/>
                <w:b w:val="1"/>
                <w:bCs w:val="1"/>
                <w:color w:val="auto"/>
              </w:rPr>
              <w:t>VERACYTE,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1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1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6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(22,741)</w:t>
            </w: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(4,411)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6,265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on end-of-term debt obligation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Write-down of excess supplies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 of acquisition-related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(6,458)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Supplies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(1,702)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(13,724)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(3,466)</w:t>
            </w:r>
          </w:p>
        </w:tc>
      </w:tr>
      <w:tr>
        <w:trPr>
          <w:trHeight w:val="56"/>
        </w:trPr>
        <w:tc>
          <w:tcPr>
            <w:tcW w:w="8000" w:type="dxa"/>
            <w:vAlign w:val="bottom"/>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r>
    </w:tbl>
    <w:p>
      <w:pPr>
        <w:sectPr>
          <w:pgSz w:w="11900" w:h="16900" w:orient="portrait"/>
          <w:cols w:equalWidth="0" w:num="1">
            <w:col w:w="11240"/>
          </w:cols>
          <w:pgMar w:left="320" w:top="140" w:right="339" w:bottom="0" w:gutter="0" w:footer="0" w:header="0"/>
        </w:sectPr>
      </w:pPr>
    </w:p>
    <w:bookmarkStart w:id="4" w:name="page5"/>
    <w:bookmarkEnd w:id="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Payment of finance lease liability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114,652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148,053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193,250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cash flow information: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159,317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-1353820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Summary of Significant Accounting Policies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Veracyte, Inc., or Veracyte, or the Company, is a global genomic diagnostics company that improves patient care by providing answers to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a best-in-class diagnostics instrument platform, the Company is positioned to deliver its tests to patients worldwide through laboratories and hospitals that can perform the tests locally.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performs its genomic tests for thyroid cancer, lung cancer and idiopathic pulmonary fibrosis, or IPF, in its CLIA-certified laboratory in South San Francisco, California. In December 2019, the Company announced the exclusive global diagnostics license to the NanoString nCounter Analysis System, and the acquisition of the Prosigna breast cancer prognostic gene signature assay, which is commercially available, and the LymphMark lymphoma subtyping assay, which is in development. Both tests are designed for use on the nCounter system.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offers genomic tests in four disease areas: thyroid cancer; lung cancer; IPF and breast cancer.</w:t>
      </w:r>
    </w:p>
    <w:p>
      <w:pPr>
        <w:spacing w:after="0" w:line="225"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b w:val="1"/>
          <w:bCs w:val="1"/>
          <w:i w:val="1"/>
          <w:iCs w:val="1"/>
          <w:color w:val="auto"/>
        </w:rPr>
        <w:t xml:space="preserve">Thyroid Cancer - Afirma Genomic Sequencing Classifier and Xpression Atlas. </w:t>
      </w:r>
      <w:r>
        <w:rPr>
          <w:rFonts w:ascii="Arial" w:cs="Arial" w:eastAsia="Arial" w:hAnsi="Arial"/>
          <w:sz w:val="17"/>
          <w:szCs w:val="17"/>
          <w:color w:val="auto"/>
        </w:rPr>
        <w:t>The Company's Afirma offerings comprise the Afirma GSC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Xpression Atlas,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176"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Afirma Xpression Atlas complements the Afirma GSC by providing genomic alteration content from the same FNA samples used in Afirma GSC testing to help physicians decide with greater confidence on the surgical or therapeutic pathway for their patients. The Company commercially launched the Afirma Xpression Atlas in 2018 and in April 2020 introduced an expanded version of the test, which includes significantly more genomic content.</w:t>
      </w:r>
    </w:p>
    <w:p>
      <w:pPr>
        <w:spacing w:after="0" w:line="187"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b w:val="1"/>
          <w:bCs w:val="1"/>
          <w:i w:val="1"/>
          <w:iCs w:val="1"/>
          <w:color w:val="auto"/>
        </w:rPr>
        <w:t xml:space="preserve">Lung Cancer - Percepta Genomic Sequencing Classifier. </w:t>
      </w:r>
      <w:r>
        <w:rPr>
          <w:rFonts w:ascii="Arial" w:cs="Arial" w:eastAsia="Arial" w:hAnsi="Arial"/>
          <w:sz w:val="16"/>
          <w:szCs w:val="16"/>
          <w:color w:val="auto"/>
        </w:rPr>
        <w:t>The Percepta classifier improves lung cancer diagnosis when diagnostic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bronchoscopy results are inconclusive. This second-generation test was developed using the Company's RNA whole-transcriptome sequencing and machine learning platform and was commercially introduced in June 2019. The Percepta classifier identifies patients with lung nodules who are at low risk of cancer and may avoid further, invasive procedures as well as patients at high risk of cancer so they may</w:t>
      </w:r>
    </w:p>
    <w:p>
      <w:pPr>
        <w:sectPr>
          <w:pgSz w:w="11900" w:h="16841" w:orient="portrait"/>
          <w:cols w:equalWidth="0" w:num="1">
            <w:col w:w="11240"/>
          </w:cols>
          <w:pgMar w:left="320" w:top="140" w:right="339" w:bottom="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IPF - Envisia Genomic Classifier. </w:t>
      </w:r>
      <w:r>
        <w:rPr>
          <w:rFonts w:ascii="Arial" w:cs="Arial" w:eastAsia="Arial" w:hAnsi="Arial"/>
          <w:sz w:val="18"/>
          <w:szCs w:val="18"/>
          <w:color w:val="auto"/>
        </w:rPr>
        <w:t>The Envisia classifier improves diagnosis of IPF by helping physicians better differentiate IPF from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interstitial lung 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Breast Cancer - Prosigna Breast Cancer Prognostic Gene Signature Assay. </w:t>
      </w:r>
      <w:r>
        <w:rPr>
          <w:rFonts w:ascii="Arial" w:cs="Arial" w:eastAsia="Arial" w:hAnsi="Arial"/>
          <w:sz w:val="17"/>
          <w:szCs w:val="17"/>
          <w:color w:val="auto"/>
        </w:rPr>
        <w:t>The Prosigna test, acquired in December 2019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strategic transaction with NanoString Technologies, Inc., or NanoString, uses advanced genomic technology to inform next steps for patients with early-stage breast cancer, based on the genomic make-up of their disease. The test uses a set of 50 genes known as the PAM50 gene signature and can provide a breast cancer patient and physician with prognostic score that indicates the probability of cancer recurrence over ten years. Physicians use Prosigna to help guide therapeutic decisions so that patients receive a therapeutic intervention, such as chemotherapy, only if clinically warranted. Patient test results outside of the United States include intrinsic breast cancer subtypes to complement the risk-of-recurrence score.</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approach also provides multiple opportunities for partnerships with biopharmaceutical and diagnostic testing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 Additionally, the Company believes that the nCounter system, with its ability to simultaneously analyze RNA, DNA or protein targets in up to 800 genes; its ease of use, and its need for minimal hands-on time, provides an attractive distributed platform for other diagnostic companies seeking to make their genomic tests available to international markets.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testing services are performed in its clinical reference laboratories located in South San Francisco, California and Austin, Texas.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Prosigna test kits and associated products are sold to laboratories and hospitals in global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2020, the condensed consolidated statements of operations and comprehensive loss for the three and six months ended June 30, 2020 and 2019, the condensed consolidated statements of stockholders' equity for the three and six months ended June 30, 2020 and 2019, and the condensed consolidated statements of cash flows for the six months ended June 30, 2020 and 2019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at December 31, 2019 has been derived from audited financial statements. The results for the three and six months ended June 30, 2020 are not necessarily indicative of the results expected for the full year or any other period.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retained earnings or consolidated balance sheet totals; however, for the period ended June 30, 2019, the Company reclassified $431,000 of changes in operating assets and liabilities to noncash lease expense in the statement of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the estimation of the fair value of intangible assets and contingent consideration; stock options; income tax uncertainties, including a valuation allowance for deferred tax assets; reserve on accounts receivable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in a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considers demand deposits in a bank, money market funds and highly liquid investments with an original maturity of 90 days or less to be cash equivalents. Cash equivalents include overnight reverse repurchase agreements which are tri-party repurchase agreements and have maturities of three months or less at the time of investment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 There were no overnight reverse repurchase agreements at June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of the components of the Company’s sample collection kits and test reagents, and its nCounter Analysis System and related diagnostic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June 30, 2020.</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June 30, 2020, most of the Company’s revenue has been derived from the sale of Afirma. To date, Afirma has been delivered primarily to physicians in the United States. The Company’s third-party payers and other customers in excess of 10% of total revenue and their related revenue as a percentage of total revenue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7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Three Months Ended June 30,</w:t>
            </w:r>
          </w:p>
        </w:tc>
        <w:tc>
          <w:tcPr>
            <w:tcW w:w="26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09"/>
        </w:trPr>
        <w:tc>
          <w:tcPr>
            <w:tcW w:w="58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Johnson and Johnson Services, Inc.</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58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58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-8255</wp:posOffset>
            </wp:positionV>
            <wp:extent cx="331787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*Less than 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20" w:type="dxa"/>
            <w:vAlign w:val="bottom"/>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88"/>
              </w:rPr>
              <w:t>June 30, 2020</w:t>
            </w:r>
          </w:p>
        </w:tc>
        <w:tc>
          <w:tcPr>
            <w:tcW w:w="1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09"/>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Johnson and Johnson Services, Inc.</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7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*Less than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deposits of $603,000 included in long-term assets as of June 30, 2020 and December 31, 2019, restricted from withdrawal and held by a bank in the form of collateral for an irrevocable standby letter of credit held as security for the lease of the Company’s South San Francisco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Testing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recognizes testing revenue in accordance with the provisions of ASC 606, Revenue from Contracts with Customers,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half of 2020, the Company changed its revenue estimates due to actual and anticipated cash collections for tests delivered in prior quarters and recognized additional revenue of $0.9 million and $0.7 million for the three and six months ended June 30, 2020, respectively. These adjustments resulted in decreases in the Company's loss from operations of $0.9 million and $0.7 million and a decrease in basic and diluted net loss per share of $0.02 and $0.01 for the three and six months ended June 30, 2020,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half of 2019, the Company changed its revenue estimates due to actual and anticipated cash collections for tests delivered in prior quarters and recognized additional revenue of $0.1 million and $0.8 million for the three and six months ended June 30, 2019, respectively. These adjustments resulted in decreases in the Company's loss from operations of $0.1 million and $0.8 million and a decrease in basic and diluted net loss per share of $0.01 and $0.02 for the three and six months ended June 30, 2019,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began recognizing product revenue in December 2019, when the Company executed an agreement with NanoString for the exclusive global license to the nCounter platform and acquisition of products for diagnostic use. More details on this agreement are in Note 4 - Business Combination.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revenue from instruments and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charged to the Company's customers and included in product revenue. Revenues are presented net of the taxes that are collected from customers and remitted to governmental authorities.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Biopharmaceutical and Collaboration Revenue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the Company enters into arrangements for research and development and/or laboratory services. Such arrangements may require the Company to deliver various rights, services and/or samples, including intellectual property rights/licenses, R&amp;D services, and/or laboratory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Collaborative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enters into collaborative arrangements with partners that fall under the scope of ASC Topic 808, Collaborative Arrangements, or ASC 808. While these arrangements are in the scope of ASC 808, the Company may analogize to ASC 606 for some aspects of these arrangements. The Company analogizes to ASC 606 for certain activities within the collaborative arrangement for the delivery of a good or service (i.e., a unit of account) that is part of its ongoing major or central operations.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all other non-customer revenue are classified under collaboration revenue in our consolidated statements of operations and comprehensive loss. There was no collaboration revenue in the three and six months ended June 30, 2020.</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Up-front Fees: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Milestone Payments: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Services Agreement with Loxo Oncology</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6"/>
          <w:szCs w:val="16"/>
          <w:color w:val="auto"/>
        </w:rPr>
        <w:t>On April 9, 2018, the Company entered into an agreement with Loxo Oncology, Inc., or Loxo, whereby the Company agreed to provide certain tissue samples and other services in exchange for agreed-upon fees. The agreement has a term of one year with an automatic renewal of one year and Loxo may terminate the agreement at any time with at least 90 days' notice. As of June 30, 2020, the agreement has not been terminated. The Company evaluated the accounting for this agreement under ASC 606 and concluded the performance obligations thereunder are the delivery of tissue samples and performance of services, both of which are distinct. For the three months ended March 31, 2019, the Company recognized revenue of $90,000 for the delivery of tissue samples. There were no deliveries of tissue samples for the three months ended June 30, 2019 or for the six months ended June 30, 2020. The Company recognized revenue of $250,000 and $500,000 for the performance of services for each of the three and six months June 30, 2020, respectively. The cost of revenue associated with revenue recognized under the agreement with Loxo is not significant. There was no deferred revenue related to this agreement at either June 30, 2020 or December 31,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Diagnostic Development Agreement with Johnson &amp; Johnson</w:t>
      </w:r>
    </w:p>
    <w:p>
      <w:pPr>
        <w:spacing w:after="0" w:line="22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On December 28, 2018, the Company entered into a diagnostics development agreement with Johnson and Johnson Services, Inc., or JJSI, (i) to cooperate on a program to enable the Company to use JJSI samples and clinical data to develop a next generation bronchial genomic classifier diagnostic for lung cancer diagnosis, or Percepta v.2, and a nasal genomic classifier diagnostic for lung cancer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Nasal programs. The license granted to JJSI is not distinct from other performance obligations as JJSI receives benefit only when other performance obligations are met.</w:t>
      </w:r>
    </w:p>
    <w:p>
      <w:pPr>
        <w:spacing w:after="0" w:line="178"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Under the terms of the agreement, 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the Percepta v.2 and Nasal tests. For a period of ten years commencing with the first commercial sale of the Percepta v.2 and Nasal tests, respectively, the Company will make payments to JJSI of one percent of net cash collections for Percepta v.2 and in the low-single digits of net cash collections for the Nasal test, depending on the number and timing of JJSI samples and associated clinical data the Company receives from JJSI. On December 18, 2019, this agreement was amended for the Company to provide further data in exchange for additional consideration, most of which the Company provided during the three months ended June 30, 2020 and recognized $1.3 million of revenue.</w:t>
      </w:r>
    </w:p>
    <w:p>
      <w:pPr>
        <w:spacing w:after="0" w:line="178"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RNA whole-transcriptome sequencing data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The Company recognized revenue of $1.3 million for the three and six months ended June 30, 2020 for the provision of data relating to the Nasal program. For the three and six months ended June 30, 2019, the Company recognized revenue of $1.2 million and $5.0 million, respectively, for the provision of data relating to Percepta v.2, classified under biopharmaceutical revenue in the condensed consolidated statement of operations and comprehensive loss. In addition, the Company recognized revenue of $2.0 million for fulfillment of obligations relating to Percepta v.2 development milestones during the three months ended June 30, 2019. Accounts receivable from JJSI was $0.5 million at June 30, 2020 and $2.0 million at December 31, 2019. There was no deferred revenue related to this agreement at June 30, 2020 and December 31,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Collaboration Agreement with AstraZeneca Group</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On December 23, 2019, the Company entered into an agreement with Acerta Pharma B.V., or Acerta, a member of AstraZeneca Group whereby the Company agreed to provide genomic information that will support Acerta’s development of oncology therapeutics. Acerta will pay the Company for certain development activities and pay milestones to the Company for the achievement of development milestones. For the three and six months June 30, 2020, the Company recognized $0.2 million and $0.4 million, respectively, of revenue for certain development activities. For the three months ended June 30, 2020, the Company recognized $1.0 million for the achievement of development milestones. Accounts receivable from Acerta was $1.4 million at June 30, 2020.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Development Agreement with CareDx</w:t>
      </w:r>
    </w:p>
    <w:p>
      <w:pPr>
        <w:spacing w:after="0" w:line="225"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On May 13, 2020, the Company entered into a commercial development agreement with CareDx, Inc., or CareDx, under which the Company provided to CareDx the right to develop and commercialize solid organ transplant-rejection tests on the Company's nCounter platform in exchange for a $1.0 million upfront payment, and is entitled to additional payments from CareDx of up to $4.5 million, conditioned upon the achievement of commercial milestones. The Company will also provide certain development support services to CareDx in exchange for $0.5 million. For the three months ended June 30, 2020, the Company recognized the $1.0 million upfront payment as biopharmaceutical revenue as the Company has no remaining performance obligations. There was no accounts receivable from CareDx at June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 Cost of testing revenue for the six months ended June 30, 2020 included a $1.1 million write-down of supplies for the potential expiration of reagents due to an anticipated decline in volumes resulting from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product revenue consists primarily of costs of purchasing instruments and diagnostic kits from third-party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Biopharmaceutical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the Company beginning January 1, 2020. Based on the composition of its trade receivables, investment portfolio and other financial assets, current economic conditions and historical credit loss activity, the adoption of this standard did not have a material impact on the Company's condensed consolidated financial statements and related disclosures.</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adopted this ASU in 2019 with no cumulative-effect adjustments or retrospective impact.</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clarifies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This standard became effective for the Company on January 1, 2020, and was adopted on a prospective basis with no material impact on the Company's condensed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7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7"/>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4,823,917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5,721,801</w:t>
            </w:r>
          </w:p>
        </w:tc>
        <w:tc>
          <w:tcPr>
            <w:tcW w:w="11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4,792,022</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5,696,450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26,416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29,471</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23,007</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27,582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945,325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752,607</w:t>
            </w:r>
          </w:p>
        </w:tc>
        <w:tc>
          <w:tcPr>
            <w:tcW w:w="11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941,776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646,274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common stock equivalents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5,795,658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6,503,879</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5,756,805</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6,370,306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660"/>
              <w:spacing w:after="0"/>
              <w:rPr>
                <w:sz w:val="20"/>
                <w:szCs w:val="20"/>
                <w:color w:val="auto"/>
              </w:rPr>
            </w:pPr>
            <w:r>
              <w:rPr>
                <w:rFonts w:ascii="Arial" w:cs="Arial" w:eastAsia="Arial" w:hAnsi="Arial"/>
                <w:sz w:val="18"/>
                <w:szCs w:val="18"/>
                <w:color w:val="auto"/>
                <w:w w:val="96"/>
              </w:rPr>
              <w:t>Accrued liabilities consisted of the following (in thousands of dollars):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6,703</w:t>
            </w:r>
          </w:p>
        </w:tc>
        <w:tc>
          <w:tcPr>
            <w:tcW w:w="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Accrued other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2,683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9,386</w:t>
            </w:r>
          </w:p>
        </w:tc>
        <w:tc>
          <w:tcPr>
            <w:tcW w:w="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413"/>
        </w:trPr>
        <w:tc>
          <w:tcPr>
            <w:tcW w:w="598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13</w:t>
            </w:r>
          </w:p>
        </w:tc>
        <w:tc>
          <w:tcPr>
            <w:tcW w:w="1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December 3, 2019, the Company executed an agreement with NanoString for the exclusive global diagnostics license to the nCounter Analysis System, and the acquisition of the Prosigna breast cancer prognostic gene signature assay, and the LymphMark lymphoma subtyping assay.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Accounting Standards Codification 805, Business Combinations.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as of December 31, 2019, recorded as a liability, and will be remeasured to fair value at each reporting date until the contingent consideration is settled. As of June 30, 2020, this contingency was remeasured to $5.9 million with the corresponding change included in general and administrative expense in the Company's condensed consolidated statements of operations and comprehensive loss.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Prosigna product technology</w:t>
            </w:r>
          </w:p>
        </w:tc>
        <w:tc>
          <w:tcPr>
            <w:tcW w:w="37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Prosigna customer relationships</w:t>
            </w: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nCounter Dx license</w:t>
            </w:r>
          </w:p>
        </w:tc>
        <w:tc>
          <w:tcPr>
            <w:tcW w:w="3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LymphMark product technology</w:t>
            </w:r>
          </w:p>
        </w:tc>
        <w:tc>
          <w:tcPr>
            <w:tcW w:w="3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 acquired</w:t>
            </w:r>
          </w:p>
        </w:tc>
        <w:tc>
          <w:tcPr>
            <w:tcW w:w="3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3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Estimated Useful</w:t>
            </w:r>
          </w:p>
        </w:tc>
      </w:tr>
      <w:tr>
        <w:trPr>
          <w:trHeight w:val="234"/>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life (In Years)</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Prosigna product technology</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Prosigna customer relationships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nCounter Dx license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LymphMark product technology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This acquisition includes $1.7 million of goodwill which the Company believes consists principally of the organized workforce that will help the Company execute its strategic plans in relation to the assets acquired. In accordance with ASC 350, goodwill will not be amortized but will be tested for impairment at least annually. As of June 30, 2020, goodwill is not deductible for tax purposes, however, if contingent consideration is paid at a future date, the portions of contingent consideration paid and allocated to the intangible assets for tax purposes will be tax deductible. The accounting for this acquisition is preliminary and will be finalized upon completion of the analysis of certain contracts acquired and executed as part of this acquisition along with the impact on goodwill, should there be 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condensed consolidated balance sheets, were $144.7 million and $57.6 million as of June 30, 2020 and December 31, 2019, respectively, and are Level I assets as described above. Overnight reverse repurchase agreements, included in cash and cash equivalents in the accompanying condensed consolidated balance sheets, were zero and $100.0 million as of June 30, 2020 and December 31, 2019, respectively, and are Level II assets as described above. There were no unrealized gains or losses from overnight reverse repurchase agreements at June 30, 2020 and December 31, 2019. The deposit for the lease, included in restricted cash in the accompanying condensed consolidated balance sheets, was $603,000 as of June 30, 2020 and December 31, 2019, and is a Level I asset as described above.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contingent consideration in Note 4, Business Combination, associated with the agreement with NanoString on December 3, 2019, is a Level</w:t>
      </w:r>
    </w:p>
    <w:p>
      <w:pPr>
        <w:spacing w:after="0" w:line="46" w:lineRule="exact"/>
        <w:rPr>
          <w:sz w:val="20"/>
          <w:szCs w:val="20"/>
          <w:color w:val="auto"/>
        </w:rPr>
      </w:pPr>
    </w:p>
    <w:p>
      <w:pPr>
        <w:jc w:val="both"/>
        <w:ind w:firstLine="8"/>
        <w:spacing w:after="0" w:line="253"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June 30, 2020 and December 31, 2019, restricted from withdrawal and held by a bank in the form of collateral for an irrevocable standby letter of credit held as security for the lease of the South San Francisco facility.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consolidated balance sheets as of June 30, 2020 and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6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rPr>
              <w:t>VERACYTE,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6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w w:val="88"/>
              </w:rPr>
              <w:t>Notes to Financial Statements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6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380" w:type="dxa"/>
            <w:vAlign w:val="bottom"/>
            <w:gridSpan w:val="4"/>
          </w:tcPr>
          <w:p>
            <w:pPr>
              <w:ind w:left="660"/>
              <w:spacing w:after="0"/>
              <w:rPr>
                <w:sz w:val="20"/>
                <w:szCs w:val="20"/>
                <w:color w:val="auto"/>
              </w:rPr>
            </w:pPr>
            <w:r>
              <w:rPr>
                <w:rFonts w:ascii="Arial" w:cs="Arial" w:eastAsia="Arial" w:hAnsi="Arial"/>
                <w:sz w:val="18"/>
                <w:szCs w:val="18"/>
                <w:color w:val="auto"/>
                <w:w w:val="91"/>
              </w:rPr>
              <w:t>Future minimum lease payments under non-cancelable operating leases as of June 30, 2020 are as follows (in thousands of dollars):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66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16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2,401</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6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8"/>
                <w:szCs w:val="18"/>
                <w:color w:val="auto"/>
              </w:rPr>
            </w:pPr>
          </w:p>
        </w:tc>
      </w:tr>
      <w:tr>
        <w:trPr>
          <w:trHeight w:val="210"/>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5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15,432</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5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8"/>
                <w:szCs w:val="18"/>
                <w:color w:val="auto"/>
              </w:rPr>
            </w:pPr>
          </w:p>
        </w:tc>
      </w:tr>
      <w:tr>
        <w:trPr>
          <w:trHeight w:val="20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 value of future lease payments</w:t>
            </w:r>
          </w:p>
        </w:tc>
        <w:tc>
          <w:tcPr>
            <w:tcW w:w="5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12,231</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Less: short-term lease liabilities</w:t>
            </w:r>
          </w:p>
        </w:tc>
        <w:tc>
          <w:tcPr>
            <w:tcW w:w="5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8"/>
                <w:szCs w:val="18"/>
                <w:color w:val="auto"/>
              </w:rPr>
            </w:pPr>
          </w:p>
        </w:tc>
      </w:tr>
      <w:tr>
        <w:trPr>
          <w:trHeight w:val="250"/>
        </w:trPr>
        <w:tc>
          <w:tcPr>
            <w:tcW w:w="3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5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recognizes operating lease expense on a straight-line basis over the non-cancelable lease period. Operating lease expense was $0.5 million for each of the three months ended June 30, 2020 and 2019 and $1.0 million for each of the six months ended June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is no legal proceeding pending that could have, either individually or in the aggregate, a material adverse effect on the Company’s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June 30, 2020.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The average Term Loan Advance interest rate for the six months ended June 30, 2020 was 5.6%.</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In January 2019 and May 2019, the Company prepaid $12.5 million and $12.4 million, respectively, of the principal amount of the Term Loan Advance. These prepayments did not trigger any prepayment premium because they were partial, not full, repayments of the principal amount.</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the Company's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June 30, 2020, the Company was in compliance with the loan covenants.</w:t>
      </w:r>
    </w:p>
    <w:p>
      <w:pPr>
        <w:sectPr>
          <w:pgSz w:w="11900" w:h="16838" w:orient="portrait"/>
          <w:cols w:equalWidth="0" w:num="1">
            <w:col w:w="11240"/>
          </w:cols>
          <w:pgMar w:left="320" w:top="125"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60" w:type="dxa"/>
            <w:vAlign w:val="bottom"/>
          </w:tcPr>
          <w:p>
            <w:pPr>
              <w:spacing w:after="0"/>
              <w:rPr>
                <w:sz w:val="24"/>
                <w:szCs w:val="24"/>
                <w:color w:val="auto"/>
              </w:rPr>
            </w:pPr>
          </w:p>
        </w:tc>
        <w:tc>
          <w:tcPr>
            <w:tcW w:w="49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rPr>
              <w:t>VERACYTE, INC.</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49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8"/>
              </w:rPr>
              <w:t>Notes to Financial Statements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49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5"/>
          </w:tcPr>
          <w:p>
            <w:pPr>
              <w:ind w:left="660"/>
              <w:spacing w:after="0"/>
              <w:rPr>
                <w:sz w:val="20"/>
                <w:szCs w:val="20"/>
                <w:color w:val="auto"/>
              </w:rPr>
            </w:pPr>
            <w:r>
              <w:rPr>
                <w:rFonts w:ascii="Arial" w:cs="Arial" w:eastAsia="Arial" w:hAnsi="Arial"/>
                <w:sz w:val="18"/>
                <w:szCs w:val="18"/>
                <w:color w:val="auto"/>
                <w:w w:val="92"/>
              </w:rPr>
              <w:t>The debt obligation for borrowings made under the Loan and Security Agreement was as follows (in thousands of dollars):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2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Debt principal</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End-of-term debt obligation</w:t>
            </w:r>
          </w:p>
        </w:tc>
        <w:tc>
          <w:tcPr>
            <w:tcW w:w="4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r>
      <w:tr>
        <w:trPr>
          <w:trHeight w:val="249"/>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 obligation</w:t>
            </w:r>
          </w:p>
        </w:tc>
        <w:tc>
          <w:tcPr>
            <w:tcW w:w="4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and end-of-term debt obligation payments under the Loan and Security Agreement are $1.3 million and due in 2022.</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end-of-term debt obligation accretes over the term of the Loan and Security Agreement until maturity and is included in interest expense in the Company's condensed consolidated statements of operations and comprehensive loss.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restricted stock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1500"/>
        <w:spacing w:after="0" w:line="289" w:lineRule="auto"/>
        <w:rPr>
          <w:sz w:val="20"/>
          <w:szCs w:val="20"/>
          <w:color w:val="auto"/>
        </w:rPr>
      </w:pPr>
      <w:r>
        <w:rPr>
          <w:rFonts w:ascii="Arial" w:cs="Arial" w:eastAsia="Arial" w:hAnsi="Arial"/>
          <w:sz w:val="17"/>
          <w:szCs w:val="17"/>
          <w:color w:val="auto"/>
        </w:rPr>
        <w:t>Stock options and restricted stock units available for grant under stock option plans Common stock available for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Cytopathology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June 30, 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5715</wp:posOffset>
            </wp:positionV>
            <wp:extent cx="19888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jc w:val="both"/>
        <w:ind w:left="540"/>
        <w:spacing w:after="0"/>
        <w:tabs>
          <w:tab w:leader="none" w:pos="2180" w:val="left"/>
        </w:tabs>
        <w:rPr>
          <w:sz w:val="20"/>
          <w:szCs w:val="20"/>
          <w:color w:val="auto"/>
        </w:rPr>
      </w:pPr>
      <w:r>
        <w:rPr>
          <w:rFonts w:ascii="Arial" w:cs="Arial" w:eastAsia="Arial" w:hAnsi="Arial"/>
          <w:sz w:val="18"/>
          <w:szCs w:val="18"/>
          <w:color w:val="auto"/>
        </w:rPr>
        <w:t>5,534,822</w:t>
      </w:r>
      <w:r>
        <w:rPr>
          <w:sz w:val="20"/>
          <w:szCs w:val="20"/>
          <w:color w:val="auto"/>
        </w:rPr>
        <w:tab/>
      </w:r>
      <w:r>
        <w:rPr>
          <w:rFonts w:ascii="Arial" w:cs="Arial" w:eastAsia="Arial" w:hAnsi="Arial"/>
          <w:sz w:val="18"/>
          <w:szCs w:val="18"/>
          <w:color w:val="auto"/>
        </w:rPr>
        <w:t>5,562,484</w:t>
      </w:r>
    </w:p>
    <w:p>
      <w:pPr>
        <w:spacing w:after="0" w:line="23" w:lineRule="exact"/>
        <w:rPr>
          <w:sz w:val="20"/>
          <w:szCs w:val="20"/>
          <w:color w:val="auto"/>
        </w:rPr>
      </w:pPr>
    </w:p>
    <w:p>
      <w:pPr>
        <w:jc w:val="both"/>
        <w:ind w:left="540"/>
        <w:spacing w:after="0"/>
        <w:tabs>
          <w:tab w:leader="none" w:pos="2180" w:val="left"/>
        </w:tabs>
        <w:rPr>
          <w:sz w:val="20"/>
          <w:szCs w:val="20"/>
          <w:color w:val="auto"/>
        </w:rPr>
      </w:pPr>
      <w:r>
        <w:rPr>
          <w:rFonts w:ascii="Arial" w:cs="Arial" w:eastAsia="Arial" w:hAnsi="Arial"/>
          <w:sz w:val="18"/>
          <w:szCs w:val="18"/>
          <w:color w:val="auto"/>
        </w:rPr>
        <w:t>3,207,661</w:t>
      </w:r>
      <w:r>
        <w:rPr>
          <w:sz w:val="20"/>
          <w:szCs w:val="20"/>
          <w:color w:val="auto"/>
        </w:rPr>
        <w:tab/>
      </w:r>
      <w:r>
        <w:rPr>
          <w:rFonts w:ascii="Arial" w:cs="Arial" w:eastAsia="Arial" w:hAnsi="Arial"/>
          <w:sz w:val="18"/>
          <w:szCs w:val="18"/>
          <w:color w:val="auto"/>
        </w:rPr>
        <w:t>1,954,804</w:t>
      </w:r>
    </w:p>
    <w:p>
      <w:pPr>
        <w:spacing w:after="0" w:line="9" w:lineRule="exact"/>
        <w:rPr>
          <w:sz w:val="20"/>
          <w:szCs w:val="20"/>
          <w:color w:val="auto"/>
        </w:rPr>
      </w:pPr>
    </w:p>
    <w:p>
      <w:pPr>
        <w:jc w:val="both"/>
        <w:ind w:left="680"/>
        <w:spacing w:after="0"/>
        <w:tabs>
          <w:tab w:leader="none" w:pos="2300" w:val="left"/>
        </w:tabs>
        <w:rPr>
          <w:sz w:val="20"/>
          <w:szCs w:val="20"/>
          <w:color w:val="auto"/>
        </w:rPr>
      </w:pPr>
      <w:r>
        <w:rPr>
          <w:rFonts w:ascii="Arial" w:cs="Arial" w:eastAsia="Arial" w:hAnsi="Arial"/>
          <w:sz w:val="18"/>
          <w:szCs w:val="18"/>
          <w:color w:val="auto"/>
        </w:rPr>
        <w:t>112,226</w:t>
      </w:r>
      <w:r>
        <w:rPr>
          <w:sz w:val="20"/>
          <w:szCs w:val="20"/>
          <w:color w:val="auto"/>
        </w:rPr>
        <w:tab/>
      </w:r>
      <w:r>
        <w:rPr>
          <w:rFonts w:ascii="Arial" w:cs="Arial" w:eastAsia="Arial" w:hAnsi="Arial"/>
          <w:sz w:val="18"/>
          <w:szCs w:val="18"/>
          <w:color w:val="auto"/>
        </w:rPr>
        <w:t>173,168</w:t>
      </w:r>
    </w:p>
    <w:p>
      <w:pPr>
        <w:spacing w:after="0" w:line="9" w:lineRule="exact"/>
        <w:rPr>
          <w:sz w:val="20"/>
          <w:szCs w:val="20"/>
          <w:color w:val="auto"/>
        </w:rPr>
      </w:pPr>
    </w:p>
    <w:p>
      <w:pPr>
        <w:jc w:val="both"/>
        <w:ind w:left="540"/>
        <w:spacing w:after="0"/>
        <w:tabs>
          <w:tab w:leader="none" w:pos="2180" w:val="left"/>
        </w:tabs>
        <w:rPr>
          <w:sz w:val="20"/>
          <w:szCs w:val="20"/>
          <w:color w:val="auto"/>
        </w:rPr>
      </w:pPr>
      <w:r>
        <w:rPr>
          <w:rFonts w:ascii="Arial" w:cs="Arial" w:eastAsia="Arial" w:hAnsi="Arial"/>
          <w:sz w:val="18"/>
          <w:szCs w:val="18"/>
          <w:color w:val="auto"/>
        </w:rPr>
        <w:t>8,854,709</w:t>
      </w:r>
      <w:r>
        <w:rPr>
          <w:sz w:val="20"/>
          <w:szCs w:val="20"/>
          <w:color w:val="auto"/>
        </w:rPr>
        <w:tab/>
      </w:r>
      <w:r>
        <w:rPr>
          <w:rFonts w:ascii="Arial" w:cs="Arial" w:eastAsia="Arial" w:hAnsi="Arial"/>
          <w:sz w:val="18"/>
          <w:szCs w:val="18"/>
          <w:color w:val="auto"/>
        </w:rPr>
        <w:t>7,690,456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19888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7500" w:space="720"/>
            <w:col w:w="3020"/>
          </w:cols>
          <w:pgMar w:left="320" w:top="125" w:right="339" w:bottom="1440" w:gutter="0" w:footer="0" w:header="0"/>
          <w:type w:val="continuous"/>
        </w:sectPr>
      </w:pPr>
    </w:p>
    <w:p>
      <w:pPr>
        <w:spacing w:after="0" w:line="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an agreement with a specialized pathology practice, Thyroid Cytopathology Partners, or ("TCP"), to provide testing services to the Company, or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TCP's portion of rent and related operating expenses reimbursed to the Company for the shared space at the Austin, Texas facility was $11,000 for the six months ended June 30, 2019, and is included in other income, net in the Company’s condensed consolidated statements of operations and comprehensive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six months ended June 30, 2020 and 2019. The Company continues to maintain a full valuation allowance against its net deferred tax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the provisions of the legislation to have a significant impact on the effective tax rate of the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2019.</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ribonucleic acid, or RNA, samples; our integration of the assets acquired from NanoString Technologies, Inc.; our ability to deploy the nCounter Analysis System successfully and run our tests on this platform worldwide; our beliefs with respect to the optimization of our processes for the analysis of ribonucleic acid, or RNA, samples; our collaboration with Johnson &amp; Johnson Services, Inc.;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and MAVIDx;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Veracyte, Afirma, Percepta, Envisia, Prosigna, LymphMark, and Know by Design, and the Veracyte, Afirma, Percepta, Envisia and Prosigna logos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84"/>
        <w:spacing w:after="0" w:line="275" w:lineRule="auto"/>
        <w:rPr>
          <w:sz w:val="20"/>
          <w:szCs w:val="20"/>
          <w:color w:val="auto"/>
        </w:rPr>
      </w:pPr>
      <w:r>
        <w:rPr>
          <w:rFonts w:ascii="Arial" w:cs="Arial" w:eastAsia="Arial" w:hAnsi="Arial"/>
          <w:sz w:val="17"/>
          <w:szCs w:val="17"/>
          <w:color w:val="auto"/>
        </w:rPr>
        <w:t>We are a global genomic diagnostics company that improves patient care by answering important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a what we believe is best-in-class diagnostics instrument platform, the Company is positioned to deliver its tests to patients worldwide through laboratories and hospitals that can perform the tests locally.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perform our genomic tests for thyroid cancer, lung cancer and idiopathic pulmonary fibrosis, or IPF, in our CLIA-certified laboratory in South San Francisco, California. In December 2019, we announced an exclusive global diagnostics license to the nCounter® Analysis System from NanoString, as well as the acquisition of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global market of over $40 billion.</w:t>
      </w:r>
    </w:p>
    <w:p>
      <w:pPr>
        <w:sectPr>
          <w:pgSz w:w="11900" w:h="16838" w:orient="portrait"/>
          <w:cols w:equalWidth="0" w:num="1">
            <w:col w:w="11240"/>
          </w:cols>
          <w:pgMar w:left="320" w:top="1039" w:right="339" w:bottom="45" w:gutter="0" w:footer="0" w:header="0"/>
        </w:sectPr>
      </w:pPr>
    </w:p>
    <w:bookmarkStart w:id="19" w:name="page20"/>
    <w:bookmarkEnd w:id="19"/>
    <w:p>
      <w:pPr>
        <w:jc w:val="both"/>
        <w:ind w:firstLine="648"/>
        <w:spacing w:after="0" w:line="311" w:lineRule="auto"/>
        <w:rPr>
          <w:sz w:val="20"/>
          <w:szCs w:val="20"/>
          <w:color w:val="auto"/>
        </w:rPr>
      </w:pPr>
      <w:r>
        <w:rPr>
          <w:rFonts w:ascii="Arial" w:cs="Arial" w:eastAsia="Arial" w:hAnsi="Arial"/>
          <w:sz w:val="16"/>
          <w:szCs w:val="16"/>
          <w:color w:val="auto"/>
        </w:rPr>
        <w:t>We develop our genomic tests using advanced scientific methods, such as RNA whole-transcriptome sequencing and machine learning, and then optimize the assay and classifier results for the platform on which the test will be performed. Historically, that platform has been RNA sequencing, performed in our CLIA lab. Beginning in 2021, we expect this to also include the nCounter platform for international distribution of our tests.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genomic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 This diagnostic uncertainty can lead to additional, invasive procedures that are often unnecessary, delayed or incorrect treatment, increased healthcare costs and patient anxiety.</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position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170" w:lineRule="exact"/>
        <w:rPr>
          <w:sz w:val="20"/>
          <w:szCs w:val="20"/>
          <w:color w:val="auto"/>
        </w:rPr>
      </w:pPr>
    </w:p>
    <w:p>
      <w:pPr>
        <w:jc w:val="both"/>
        <w:ind w:left="660" w:hanging="328"/>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Unique Biorepositories - 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17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or at the time of diagnosis to inform therapeutic selection.</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adapt our test menu for multiple markets globally, providing flexibility for a global distributed testing model and potentially increased efficiency in our United States-based CLIA lab. Regardless of the testing platform used for diagnosis, our RNA sequencing platform enables us to offer testing from our CLIA lab for a broad range of gene alterations, which can inform treatment decisions at the time of diagnosis.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Our collaboration with the Lung Cancer Initiative at Johnson &amp; Johnson has helped accelerate two of our key lung cancer programs: (i) commercialization of the Percepta GSC on our RNA whole-transcriptome sequencing platform, and (ii) development of the first non-invasive nasal swab test for early lung cancer detection.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which we believe is key to driving adoption and reimbursement. Patients and physicians can access our full list of publications on our website. Over 50 clinical studies covering our products have been published, including three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for the Afirma and Percepta classifiers, respectively, and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xml:space="preserve"> for the Envisia classifier. We continue to build upon our extensive library of clinical evidence.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expect to continue expanding our offerings in thyroid cancer, lung cancer, interstitial lung diseases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 We plan to commercially introduce four products in 2021: Our nasal swab classifier for early lung cancer detection and our Percepta Lung Cancer Atlas, which together with the Percepta GSC, form a comprehensive lung cancer portfolio; our Envisia classifier on the nCounter system for expansion into global markets; and, if the FDA grants our De Novo classification request, our LymphMark lymphoma subtyping test.</w:t>
      </w:r>
    </w:p>
    <w:p>
      <w:pPr>
        <w:sectPr>
          <w:pgSz w:w="11900" w:h="16838" w:orient="portrait"/>
          <w:cols w:equalWidth="0" w:num="1">
            <w:col w:w="11240"/>
          </w:cols>
          <w:pgMar w:left="320" w:top="125" w:right="339" w:bottom="0" w:gutter="0" w:footer="0" w:header="0"/>
        </w:sectPr>
      </w:pPr>
    </w:p>
    <w:bookmarkStart w:id="20" w:name="page21"/>
    <w:bookmarkEnd w:id="20"/>
    <w:p>
      <w:pPr>
        <w:spacing w:after="0" w:line="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since the beginning of the second quarter of 2020 we announced our first two diagnostic company partnerships – with CareDx in transplantation and MAVIDx in COVID-19 and other infectious diseases, which we expect to help expand our testing menu on the nCounter system and fuel additional revenue-generation opportunities.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customers, third-party contract manufacturers, suppliers and collaboration partners may be affected by the closure of hospitals, doctors' offices, manufacturing sites, or country borders, among other measures being put in place around the world. Consequent increases in layoffs and furloughs in the medical industry and otherwise during the shutdown are having,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have had a significant negative impact on our financial results during the first half of fiscal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second half of March 2020 through the date of this filing, we experienced a significant decline in the volume of samples received resulting in a significant decline in revenue. Our genomic testing volume doubled between April and June 2020 as hospitals started performing more non-emergency procedures and physician practices began to open up. We are currently anticipating a return to prior-year volume and revenue levels in the first or second quarter of 2021, reflecting a “U-shaped” recovery. The COVID-19 pandemic has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 Given the significant challenges we face from COVID-19, we have taken actions to reduce expenses and preserve the health of our business, including our board of directors, executive team, including our Chairman and CEO, and certain other employees taking a reduction in pay until we are able to resume normal operations. In April 2020, we also put approximately 60 employees on a temporary furlough. We may take further actions as may be required by government authorities or that we determine are in the best interests of our employees, customers and business partners.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second quarter, with limited physical access to physicians, we expanded our use of digital tools to engage with our customers. Given the effectiveness of these programs, we believe such new sales and marketing models offer an opportunity to increase our efficiency and align with our projections for a U-shaped recovery. To that end, in July 2020 we terminated over 30 sales positions, representing a combination of employees who were furloughed and those who were not. At the same time, we brought the remaining 35 employees – mostly in sales – back from furlough as our business began to ramp.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extent of the impact of the COVID-19 on our future liquidity and operational performance will depend on certain developments, including the duration and spread of the outbreak, the impact on our customers' operations and the impact to our sales and renewal cycles.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second quarter of 2020:</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$20.7 million, comprising $16.9 million in testing and product revenue and $3.8 million in biopharmaceutical partnership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63%;</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$24.1 million;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$11.0 million;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$0.22;</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$8.4 million;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$147.5 million at June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six-months ended June 30, 2020:</w:t>
      </w:r>
    </w:p>
    <w:p>
      <w:pPr>
        <w:spacing w:after="0" w:line="225" w:lineRule="exact"/>
        <w:rPr>
          <w:sz w:val="20"/>
          <w:szCs w:val="20"/>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$51.8 million, comprising $47.3 million in testing and product revenue and $4.5 million in biopharmaceutical partnership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62%;</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$55.2 million;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$22.7 million;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$0.45;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$13.7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Diagnostics Business:</w:t>
      </w:r>
    </w:p>
    <w:p>
      <w:pPr>
        <w:spacing w:after="0" w:line="225" w:lineRule="exact"/>
        <w:rPr>
          <w:sz w:val="20"/>
          <w:szCs w:val="20"/>
          <w:color w:val="auto"/>
        </w:rPr>
      </w:pPr>
    </w:p>
    <w:p>
      <w:pPr>
        <w:ind w:left="600" w:hanging="255"/>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reported genomic testing volume (Afirma, Percepta and Envisia), with June total volume doubling that of April.</w:t>
      </w:r>
    </w:p>
    <w:p>
      <w:pPr>
        <w:spacing w:after="0" w:line="23" w:lineRule="exact"/>
        <w:rPr>
          <w:rFonts w:ascii="Arial" w:cs="Arial" w:eastAsia="Arial" w:hAnsi="Arial"/>
          <w:sz w:val="18"/>
          <w:szCs w:val="18"/>
          <w:color w:val="auto"/>
        </w:rPr>
      </w:pPr>
    </w:p>
    <w:p>
      <w:pPr>
        <w:ind w:left="600" w:right="260" w:hanging="255"/>
        <w:spacing w:after="0" w:line="260"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virtual customer engagement program, conducting more than two dozen virtual educational events, email campaigns and other digital outreach to clinicians.</w:t>
      </w:r>
    </w:p>
    <w:p>
      <w:pPr>
        <w:sectPr>
          <w:pgSz w:w="11900" w:h="16880" w:orient="portrait"/>
          <w:cols w:equalWidth="0" w:num="1">
            <w:col w:w="11240"/>
          </w:cols>
          <w:pgMar w:left="320" w:top="125" w:right="339" w:bottom="0" w:gutter="0" w:footer="0" w:header="0"/>
        </w:sectPr>
      </w:pPr>
    </w:p>
    <w:bookmarkStart w:id="21" w:name="page22"/>
    <w:bookmarkEnd w:id="21"/>
    <w:p>
      <w:pPr>
        <w:ind w:left="620" w:right="400" w:hanging="275"/>
        <w:spacing w:after="0" w:line="25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Strengthened our library of published clinical evidence supporting use of the Afirma Xpression Atlas (</w:t>
      </w:r>
      <w:r>
        <w:rPr>
          <w:rFonts w:ascii="Arial" w:cs="Arial" w:eastAsia="Arial" w:hAnsi="Arial"/>
          <w:sz w:val="18"/>
          <w:szCs w:val="18"/>
          <w:i w:val="1"/>
          <w:iCs w:val="1"/>
          <w:color w:val="auto"/>
        </w:rPr>
        <w:t>Cancer Cytopathology</w:t>
      </w:r>
      <w:r>
        <w:rPr>
          <w:rFonts w:ascii="Arial" w:cs="Arial" w:eastAsia="Arial" w:hAnsi="Arial"/>
          <w:sz w:val="18"/>
          <w:szCs w:val="18"/>
          <w:color w:val="auto"/>
        </w:rPr>
        <w:t>) and the Envisia Genomic Classifier (</w:t>
      </w:r>
      <w:r>
        <w:rPr>
          <w:rFonts w:ascii="Arial" w:cs="Arial" w:eastAsia="Arial" w:hAnsi="Arial"/>
          <w:sz w:val="18"/>
          <w:szCs w:val="18"/>
          <w:i w:val="1"/>
          <w:iCs w:val="1"/>
          <w:color w:val="auto"/>
        </w:rPr>
        <w:t>CHEST</w:t>
      </w:r>
      <w:r>
        <w:rPr>
          <w:rFonts w:ascii="Arial" w:cs="Arial" w:eastAsia="Arial" w:hAnsi="Arial"/>
          <w:sz w:val="18"/>
          <w:szCs w:val="18"/>
          <w:color w:val="auto"/>
        </w:rPr>
        <w:t xml:space="preserve"> and </w:t>
      </w:r>
      <w:r>
        <w:rPr>
          <w:rFonts w:ascii="Arial" w:cs="Arial" w:eastAsia="Arial" w:hAnsi="Arial"/>
          <w:sz w:val="18"/>
          <w:szCs w:val="18"/>
          <w:i w:val="1"/>
          <w:iCs w:val="1"/>
          <w:color w:val="auto"/>
        </w:rPr>
        <w:t>AJRCCM</w:t>
      </w:r>
      <w:r>
        <w:rPr>
          <w:rFonts w:ascii="Arial" w:cs="Arial" w:eastAsia="Arial" w:hAnsi="Arial"/>
          <w:sz w:val="18"/>
          <w:szCs w:val="18"/>
          <w:color w:val="auto"/>
        </w:rPr>
        <w:t xml:space="preserve">). The </w:t>
      </w:r>
      <w:r>
        <w:rPr>
          <w:rFonts w:ascii="Arial" w:cs="Arial" w:eastAsia="Arial" w:hAnsi="Arial"/>
          <w:sz w:val="18"/>
          <w:szCs w:val="18"/>
          <w:i w:val="1"/>
          <w:iCs w:val="1"/>
          <w:color w:val="auto"/>
        </w:rPr>
        <w:t>AJRCCM</w:t>
      </w:r>
      <w:r>
        <w:rPr>
          <w:rFonts w:ascii="Arial" w:cs="Arial" w:eastAsia="Arial" w:hAnsi="Arial"/>
          <w:sz w:val="18"/>
          <w:szCs w:val="18"/>
          <w:color w:val="auto"/>
        </w:rPr>
        <w:t xml:space="preserve"> study further demonstrates the Envisia classifier’s ability to improve diagnosis of idiopathic pulmonary fibrosis without the need for surgery.</w:t>
      </w:r>
    </w:p>
    <w:p>
      <w:pPr>
        <w:spacing w:after="0" w:line="2" w:lineRule="exact"/>
        <w:rPr>
          <w:rFonts w:ascii="Arial" w:cs="Arial" w:eastAsia="Arial" w:hAnsi="Arial"/>
          <w:sz w:val="18"/>
          <w:szCs w:val="18"/>
          <w:color w:val="auto"/>
        </w:rPr>
      </w:pPr>
    </w:p>
    <w:p>
      <w:pPr>
        <w:ind w:left="640" w:right="820" w:hanging="281"/>
        <w:spacing w:after="0" w:line="250"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LymphMark – Submitted De Novo classification request to the FDA for the lymphoma subtyping test, which is designed to help inform diagnosis and better treatment decisions.</w:t>
      </w:r>
    </w:p>
    <w:p>
      <w:pPr>
        <w:ind w:left="660" w:right="360" w:hanging="301"/>
        <w:spacing w:after="0" w:line="281"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 track to launch four new products in 2021: Nasal swab test for early lung cancer detection; Percepta Atlas to inform treatment decisions in lung cancer; Envisia international launch on the nCounter; and LymphMark, if the FDA grants our De Novo classification request.</w:t>
      </w:r>
    </w:p>
    <w:p>
      <w:pPr>
        <w:spacing w:after="0" w:line="1" w:lineRule="exact"/>
        <w:rPr>
          <w:rFonts w:ascii="Arial" w:cs="Arial" w:eastAsia="Arial" w:hAnsi="Arial"/>
          <w:sz w:val="16"/>
          <w:szCs w:val="16"/>
          <w:color w:val="auto"/>
        </w:rPr>
      </w:pPr>
    </w:p>
    <w:p>
      <w:pPr>
        <w:ind w:left="660" w:right="180" w:hanging="288"/>
        <w:spacing w:after="0" w:line="260"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Signed distributor contracts that will make Veracyte’s advanced genomic testing on the nCounter system available to laboratories throughout the Asia Pacific region, as well as in Australia and New Zealand.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Collaborations:</w:t>
      </w:r>
    </w:p>
    <w:p>
      <w:pPr>
        <w:spacing w:after="0" w:line="225" w:lineRule="exact"/>
        <w:rPr>
          <w:sz w:val="20"/>
          <w:szCs w:val="20"/>
          <w:color w:val="auto"/>
        </w:rPr>
      </w:pPr>
    </w:p>
    <w:p>
      <w:pPr>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CareDx – Formed strategic collaboration through which CareDx has the exclusive right to develop solid organ transplant rejection tests on the nCounter Analysis System, fueling our global menu expansion.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9"/>
          <w:szCs w:val="19"/>
          <w:color w:val="auto"/>
        </w:rPr>
        <w:t>Generated revenue from four biopharmaceutical and diagnostics partners: Eli Lilly/Loxo Oncology, Johnson &amp; Johnson</w:t>
      </w:r>
    </w:p>
    <w:p>
      <w:pPr>
        <w:spacing w:after="0" w:line="250"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21"/>
          <w:szCs w:val="21"/>
          <w:color w:val="auto"/>
        </w:rPr>
        <w:t>MAVIDx – Signed strategic agreement, taking an equity stake in MAVIDx, for the new company to develop COVID-19 and other infectious disease tests for ultra-high throughput testing on the nCounter system. A Harvard University report estimates the market will require 20 million tests per day in the United States alone.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extent of the impact of the COVID-19 outbreak on our operational and financial performance will depend on certain developments, including the duration and spread of the outbreak, impact on our customers and our sales cycles, employee or industry events, and effect on our vendors, all of which are uncertain and cannot be predicted. The COVID-19 pandemic and its adverse effects have become more prevalent in the locations where we, our customers, suppliers or third-party business partners conduct business and as a result, we have begun to experience more pronounced disruptions in our operations. We may experience constrained supply or curtailed customer demand that could materially adversely impact our business, results of operations and overall financial performance in future periods. Specifically, we may experience impact from changes in how hospital and physicians treat their patients and the frequency of their interaction with their patients, our ability to have in-person meetings with physicians and other customers and drive education and interest in our tests, and difficulties and changes to our sales, logistics, testing, customer support and other processes. As of the filing date of this Form 10-Q, the extent to which COVID-19 may impact our financial condition or results of operations or guidance is uncertain. The effect of the COVID-19 pandemic will not be fully reflected in our results of operations and overall financial performance until future periods. See Risk Factors for further discussion of the possible impact of the COVID-19 pandemic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8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COVID-19 on patients seeking to have tests performed;</w:t>
      </w:r>
    </w:p>
    <w:p>
      <w:pPr>
        <w:spacing w:after="0" w:line="36" w:lineRule="exact"/>
        <w:rPr>
          <w:rFonts w:ascii="Arial" w:cs="Arial" w:eastAsia="Arial" w:hAnsi="Arial"/>
          <w:sz w:val="18"/>
          <w:szCs w:val="18"/>
          <w:color w:val="auto"/>
        </w:rPr>
      </w:pPr>
    </w:p>
    <w:p>
      <w:pPr>
        <w:ind w:left="1300" w:hanging="48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36" w:lineRule="exact"/>
        <w:rPr>
          <w:rFonts w:ascii="Arial" w:cs="Arial" w:eastAsia="Arial" w:hAnsi="Arial"/>
          <w:sz w:val="18"/>
          <w:szCs w:val="18"/>
          <w:color w:val="auto"/>
        </w:rPr>
      </w:pPr>
    </w:p>
    <w:p>
      <w:pPr>
        <w:ind w:left="1300" w:hanging="48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36" w:lineRule="exact"/>
        <w:rPr>
          <w:rFonts w:ascii="Arial" w:cs="Arial" w:eastAsia="Arial" w:hAnsi="Arial"/>
          <w:sz w:val="18"/>
          <w:szCs w:val="18"/>
          <w:color w:val="auto"/>
        </w:rPr>
      </w:pPr>
    </w:p>
    <w:p>
      <w:pPr>
        <w:ind w:left="1300" w:hanging="482"/>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receipt of the necessary documentation, such as physician order and patient consent, required to perform, bill and collect for our tests;</w:t>
      </w:r>
    </w:p>
    <w:p>
      <w:pPr>
        <w:spacing w:after="0" w:line="59" w:lineRule="exact"/>
        <w:rPr>
          <w:rFonts w:ascii="Arial" w:cs="Arial" w:eastAsia="Arial" w:hAnsi="Arial"/>
          <w:sz w:val="16"/>
          <w:szCs w:val="16"/>
          <w:color w:val="auto"/>
        </w:rPr>
      </w:pPr>
    </w:p>
    <w:p>
      <w:pPr>
        <w:ind w:left="1300" w:hanging="48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36" w:lineRule="exact"/>
        <w:rPr>
          <w:rFonts w:ascii="Arial" w:cs="Arial" w:eastAsia="Arial" w:hAnsi="Arial"/>
          <w:sz w:val="18"/>
          <w:szCs w:val="18"/>
          <w:color w:val="auto"/>
        </w:rPr>
      </w:pPr>
    </w:p>
    <w:p>
      <w:pPr>
        <w:ind w:left="1300" w:hanging="48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36" w:lineRule="exact"/>
        <w:rPr>
          <w:rFonts w:ascii="Arial" w:cs="Arial" w:eastAsia="Arial" w:hAnsi="Arial"/>
          <w:sz w:val="18"/>
          <w:szCs w:val="18"/>
          <w:color w:val="auto"/>
        </w:rPr>
      </w:pPr>
    </w:p>
    <w:p>
      <w:pPr>
        <w:ind w:left="1300" w:right="20" w:hanging="482"/>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spacing w:after="0" w:line="1" w:lineRule="exact"/>
        <w:rPr>
          <w:rFonts w:ascii="Arial" w:cs="Arial" w:eastAsia="Arial" w:hAnsi="Arial"/>
          <w:sz w:val="18"/>
          <w:szCs w:val="18"/>
          <w:color w:val="auto"/>
        </w:rPr>
      </w:pPr>
    </w:p>
    <w:p>
      <w:pPr>
        <w:ind w:left="1300" w:hanging="482"/>
        <w:spacing w:after="0" w:line="2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104"/>
        <w:spacing w:after="0" w:line="269" w:lineRule="auto"/>
        <w:rPr>
          <w:sz w:val="20"/>
          <w:szCs w:val="20"/>
          <w:color w:val="auto"/>
        </w:rPr>
      </w:pPr>
      <w:r>
        <w:rPr>
          <w:rFonts w:ascii="Arial" w:cs="Arial" w:eastAsia="Arial" w:hAnsi="Arial"/>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positive coverage decisions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acquired assets and advances to our collaborations</w:t>
      </w:r>
    </w:p>
    <w:p>
      <w:pPr>
        <w:sectPr>
          <w:pgSz w:w="11900" w:h="16838" w:orient="portrait"/>
          <w:cols w:equalWidth="0" w:num="1">
            <w:col w:w="11240"/>
          </w:cols>
          <w:pgMar w:left="320" w:top="125" w:right="339" w:bottom="0" w:gutter="0" w:footer="0" w:header="0"/>
        </w:sectPr>
      </w:pPr>
    </w:p>
    <w:bookmarkStart w:id="22" w:name="page23"/>
    <w:bookmarkEnd w:id="22"/>
    <w:p>
      <w:pPr>
        <w:spacing w:after="0" w:line="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growth, operational results and advances to our business strategy depends on our ability to integrate the assets acquired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may impact our revenue and operating results through integration of a sales force, development of a product supply operation and the expansion of our business internationally with a broad menu of advanced genomic tests that may be offered.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partners pay us for the provision of data, other services and the achievement of milestones. Under a collaboration with Johnson &amp; Johnson in 2018, we provided data services required under this agreement in 2019 and 2020, however, there remains $9.0 of revenue associated with development and commercialization milestones yet to be achieved.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Testing Revenue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testing revenue in accordance with the provisions of ASC 606, Revenue from Contracts with Customers.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adoption of ASC 606, for our testing services we recognized a portion of our revenue not at the time of delivery of test results, on an accrual-basis of accounting, but upon the ultimate payment for those services, on the cash-basis of accounting. Through December 31, 2019,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six months ended June 30, 2020 and we have no expectation of future collection because we began accruing for substantially all revenue upon delivery of a patient report in the third quarter of 2016. Under ASC 606, we recognize revenue at the time we deliver test results based upon what we reasonably expect to collect and the list price of a test may not be indicative of what we ultimately expect to collect.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June 30, 2020, we accrued, on average, between $2,800 and $2,900 for the Afirma genomic classifier tests, including variants, that met our revenue recognition standard, which was between 90% - 95% of the reported Afirma classifier test volume.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second quarter of 2019 to the second quarter of 2020, we accrued between $1.0 million and $2.4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began recognizing product revenue in December 2019 when we executed an agreement with NanoString for the exclusive worldwide license to the nCounter platform and the acquisition of products for in vitro diagnostic use.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w:t>
      </w:r>
    </w:p>
    <w:p>
      <w:pPr>
        <w:sectPr>
          <w:pgSz w:w="11900" w:h="16863" w:orient="portrait"/>
          <w:cols w:equalWidth="0" w:num="1">
            <w:col w:w="11240"/>
          </w:cols>
          <w:pgMar w:left="320" w:top="125" w:right="339" w:bottom="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products consist of the Prosigna breast cancer assay, the nCounter Analysis System and related diagnostic kits. Revenues are presented net of the taxes that are collected from customers and remitted to governmental authorities.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Biopharmaceutical and Collaboration Revenues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leading biopharmaceutical companies. The underlying terms of these arrangements generally provide for consideration paid to us in the form of nonrefundable fees, performance milestone payments, expense reimbursements and possibly royalty and/or other payments.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our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Arrangements with partners may fall under the scope of ASC Topic 808, Collaborative Arrangements, or ASC 808. While these arrangements are in the scope of ASC 808, we may analogize to ASC 606 for some aspects of these arrangements. We analogize to ASC 606 for certain activities within the collaborative arrangement for the delivery to a customer of a good or service (i.e., a unit of account) that is part of our ongoing major or central operations.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all other non-customer revenue are classified under collaboration revenue in our condensed consolidated statements of operations and comprehensive loss. Payments made to us that are not net sales of data or other services to our customers are recorded as an offset against research and development expense in our condensed consolidated statements of operations and comprehensive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Tests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advance our portfolio of diagnostic tests that leverage innovations in genomic science, sequencing technology, machine learning and leveraging our new nCounter Analysis System to further improve patient care globally.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introduced the Afirma GSC, supported by rigorous clinical validation data showing that the RNA sequencing-based test can help significantly more patients avoid unnecessary surgery in thyroid cancer diagnosis, compared to the original Afirma classifier. The Afirma GSC and Xpression Atlas, originally launched in March 2018 with an expanded version launched in April 2020, provide physicians with a comprehensive solution for thyroid nodule diagnosis. The Afirma GSC was developed with RNA whole-transcriptome sequencing and machine learning and helps identify patients with benign thyroid nodules among those with indeterminate cytopathology results in order to help patients avoid unnecessary diagnostic thyroid surgery.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expanded Afirma XA test, launched in April 2020, provides physicians with additional gene alteration content – including novel or rare NTRK, ALK, RET and BRAF fusions to further inform surgery and treatment decisions for patients with suspected or confirmed thyroid cancer. The Afirma XA utilizes RNA sequencing on the same FNA sample used for Afirma GSC testing. Compared to the original gene alteration panel, the expanded Afirma XA now reports 905 DNA variants (versus 761) and 235 RNA fusion partners (versus 130) in 593 genes (versus 511).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or Malignancy Classifiers, the Afirma XA rounds out a comprehensive solution for physicians evaluating thyroid nodules. This innovation also enables us to enter into research collaborations with biopharmaceutical companies, which is intended to support their development of targeted therapies for genetically defined cancers, including thyroid cancer.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In June 2019, we began making our “next-generation” Percepta Genomic Sequencing Classifier available to physicians, providing them with expanded lung cancer risk information that can further guide next steps for patients with suspicious lung nodules, as compared to the Percepta Bronchial Genomic Classifier.</w:t>
      </w:r>
    </w:p>
    <w:p>
      <w:pPr>
        <w:sectPr>
          <w:pgSz w:w="11900" w:h="16838" w:orient="portrait"/>
          <w:cols w:equalWidth="0" w:num="1">
            <w:col w:w="11240"/>
          </w:cols>
          <w:pgMar w:left="320" w:top="125" w:right="339" w:bottom="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Additionally, our Envisia Genomic Classifier, launched in October 2016, is the first commercial test to improve the diagnosis of IPF among patients with a suspected interstitial lung disease. In March 2019, we received notice of Medicare coverage for the Envisia classifier through the MolDX program, with an effective date of April 1, 2019.</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currently leveraging the same “field of injury” technology that powers our Percepta classifier to develop a nasal swab test that can enable earlier lung cancer detection - and ultimately help reduce lung cancer deaths. In October 2019, we announced preliminary clinical data for our noninvasive nasal swab classifier - the first test of its kind. The findings show that the novel genomic test can accurately classify lung cancer risk in patients with lung nodules so that these patients can obtain the prompt diagnosis and potential treatment they need or may be monitored noninvasively. We also believe our Xpression Atlas platform can be transferred to our pulmonology indications and plan to introduce our Percepta Lung Cancer Atlas in 2021. We believe that our comprehensive lung cancer portfolio will enable us to answer questions across the patient care continuum.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June 30, 2020, we had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7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Three Months Ended June 30,</w:t>
            </w:r>
          </w:p>
        </w:tc>
        <w:tc>
          <w:tcPr>
            <w:tcW w:w="26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58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Johnson and Johnson Services, Inc.</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58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5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ectPr>
          <w:pgSz w:w="11900" w:h="16838" w:orient="portrait"/>
          <w:cols w:equalWidth="0" w:num="1">
            <w:col w:w="11240"/>
          </w:cols>
          <w:pgMar w:left="320" w:top="341" w:right="339" w:bottom="0" w:gutter="0" w:footer="0" w:header="0"/>
        </w:sectPr>
      </w:pPr>
    </w:p>
    <w:bookmarkStart w:id="25" w:name="page26"/>
    <w:bookmarkEnd w:id="2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2019. We incurred a majority of our research and development expenses in the six months ended June 30, 2020 in support of our pipeline products, and expect this to continue in the remainder of 2020 and beyond.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six months ended June 30, 2020, approximately 65%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finite-lived intangible assets, acquired in business combinations, are being amortized over 5 to 15 years, using the straight-line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approximately $5.1 million per year through 2024 and decrease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consists primarily of sublease rental income and interest income from our cash held in interest bearing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20" w:firstLine="567"/>
        <w:spacing w:after="0" w:line="277" w:lineRule="auto"/>
        <w:rPr>
          <w:sz w:val="20"/>
          <w:szCs w:val="20"/>
          <w:color w:val="auto"/>
        </w:rPr>
      </w:pPr>
      <w:r>
        <w:rPr>
          <w:rFonts w:ascii="Arial" w:cs="Arial" w:eastAsia="Arial" w:hAnsi="Arial"/>
          <w:sz w:val="18"/>
          <w:szCs w:val="18"/>
          <w:color w:val="auto"/>
        </w:rPr>
        <w:t>Comparison of the three and six months ended June 30, 2020 and 2019 (in thousands of dollars, except percentages and genomic classifiers reported):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Testing revenue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15,212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(11,474)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(43)%  $</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42,203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52,075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(9,872)</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(19)%</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w:t>
            </w: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NM</w:t>
            </w: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Biopharmaceutical revenue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2,329</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(19)%</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 (100)%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 (100)%</w:t>
            </w:r>
          </w:p>
        </w:tc>
      </w:tr>
      <w:tr>
        <w:trPr>
          <w:trHeight w:val="20"/>
        </w:trPr>
        <w:tc>
          <w:tcPr>
            <w:tcW w:w="3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10"/>
        </w:trPr>
        <w:tc>
          <w:tcPr>
            <w:tcW w:w="31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30,136</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(9,432)</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51,826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(7,839)</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(13)%</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Cost of testing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17,039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17,290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(1)%</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NM</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Cost of biopharmaceutical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840" w:type="dxa"/>
            <w:vAlign w:val="bottom"/>
            <w:gridSpan w:val="3"/>
          </w:tcPr>
          <w:p>
            <w:pPr>
              <w:ind w:left="120"/>
              <w:spacing w:after="0"/>
              <w:rPr>
                <w:sz w:val="20"/>
                <w:szCs w:val="20"/>
                <w:color w:val="auto"/>
              </w:rPr>
            </w:pPr>
            <w:r>
              <w:rPr>
                <w:rFonts w:ascii="Arial" w:cs="Arial" w:eastAsia="Arial" w:hAnsi="Arial"/>
                <w:sz w:val="18"/>
                <w:szCs w:val="18"/>
                <w:color w:val="auto"/>
              </w:rPr>
              <w:t>NM</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NM</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(3,242)</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28,285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26,420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378%</w:t>
            </w:r>
          </w:p>
        </w:tc>
      </w:tr>
      <w:tr>
        <w:trPr>
          <w:trHeight w:val="20"/>
        </w:trPr>
        <w:tc>
          <w:tcPr>
            <w:tcW w:w="3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r>
      <w:tr>
        <w:trPr>
          <w:trHeight w:val="20"/>
        </w:trPr>
        <w:tc>
          <w:tcPr>
            <w:tcW w:w="3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(7,951)</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(23,251)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(18,084)</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350%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(51)%</w:t>
            </w:r>
          </w:p>
        </w:tc>
      </w:tr>
      <w:tr>
        <w:trPr>
          <w:trHeight w:val="165"/>
        </w:trPr>
        <w:tc>
          <w:tcPr>
            <w:tcW w:w="3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125" w:right="3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(11,025)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(22,741)  $</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(18,330)</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416%</w:t>
            </w:r>
          </w:p>
        </w:tc>
      </w:tr>
      <w:tr>
        <w:trPr>
          <w:trHeight w:val="197"/>
        </w:trPr>
        <w:tc>
          <w:tcPr>
            <w:tcW w:w="31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Other Operating Data:</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Genomic classifiers reported</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second half of March 2020, we began to experience a significant decline in the volume of samples received resulting in a significant decline in revenue due to COVID-19. Revenue decreased $9.4 million, or 31%, for the three months ended June 30, 2020 compared to the same period in 2019. This was primarily due to an $11.5 million decrease in testing revenue from a 44% decrease in our Afirma, Percepta, and Envisia genomic classifiers reported partially offset by $1.7 million of sales of Prosigna, a product that we acquired the rights to from NanoString in December 2019. We also make adjustments, as necessary, for testing revenue accrued in prior periods as collections are made if the amount we expect to collect changes. The adjustment for testing revenue accrued in prior periods increased revenue by $0.9 million and $0.1 million for the three months ended June 30, 2020 and 2019, respectively, a net increase of $0.8 million between the periods. Biopharmaceutical revenue increased $2.3 million and primarily consisted of $1.3 million for the provision of data, $1.0 million for the sale of commercial and development rights to CareDx and $1.0 million of milestones for the three months ended June 30, 2020 whereas biopharmaceutical revenue consisted primarily of the provision of data for the three months ended June 30, 2019. Collaboration revenue in the three months ended June 30, 2019 was derived from the fulfillment of development milestones.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 decreased $7.8 million, or 13%, for the six months ended June 30, 2020 compared to the same period in 2019. This was primarily due to a $9.9 million decrease in testing revenue from a 15% decrease in our Afirma, Percepta, and Envisia genomic classifiers reported, partially offset by $5.1 million of sales of Prosigna. We also make adjustments, as necessary, for testing revenue accrued in prior periods as collections are made if the amount we expect to collect changes. The adjustment for testing revenue accrued in prior periods increased revenue by $0.7 million and $0.8 million for the six months ended June 30, 2020 and 2019, respectively, a net decrease of $0.1 million between the periods. Biopharmaceutical revenue decreased $1.1 million, primarily due to $5.0 million for the provision of data for the six months ended June 30, 2019 whereas biopharmaceutical revenue primarily consisted of $1.3 million for the provision of data, $1.0 million for the sale of commercial and development rights to CareDx, $1.0 million of milestones and $0.7 million for development services for the six months ended June 30, 2020. Collaboration revenue in the six months ended June 30, 2019 was derived from the fulfillment of development milestones.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testing revenue:</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(1,991)</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(5)%</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w:t>
            </w: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19%</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440%</w:t>
            </w: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(0)%</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197"/>
        </w:trPr>
        <w:tc>
          <w:tcPr>
            <w:tcW w:w="30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540" w:type="dxa"/>
            <w:vAlign w:val="bottom"/>
          </w:tcPr>
          <w:p>
            <w:pPr>
              <w:ind w:left="120"/>
              <w:spacing w:after="0"/>
              <w:rPr>
                <w:sz w:val="20"/>
                <w:szCs w:val="20"/>
                <w:color w:val="auto"/>
              </w:rPr>
            </w:pPr>
            <w:r>
              <w:rPr>
                <w:rFonts w:ascii="Arial" w:cs="Arial" w:eastAsia="Arial" w:hAnsi="Arial"/>
                <w:sz w:val="18"/>
                <w:szCs w:val="18"/>
                <w:color w:val="auto"/>
              </w:rPr>
              <w:t>NM</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2,030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560" w:type="dxa"/>
            <w:vAlign w:val="bottom"/>
          </w:tcPr>
          <w:p>
            <w:pPr>
              <w:ind w:left="140"/>
              <w:spacing w:after="0"/>
              <w:rPr>
                <w:sz w:val="20"/>
                <w:szCs w:val="20"/>
                <w:color w:val="auto"/>
              </w:rPr>
            </w:pPr>
            <w:r>
              <w:rPr>
                <w:rFonts w:ascii="Arial" w:cs="Arial" w:eastAsia="Arial" w:hAnsi="Arial"/>
                <w:sz w:val="18"/>
                <w:szCs w:val="18"/>
                <w:color w:val="auto"/>
              </w:rPr>
              <w:t>NM</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NM</w:t>
            </w:r>
          </w:p>
        </w:tc>
      </w:tr>
      <w:tr>
        <w:trPr>
          <w:trHeight w:val="20"/>
        </w:trPr>
        <w:tc>
          <w:tcPr>
            <w:tcW w:w="3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09"/>
        </w:trPr>
        <w:tc>
          <w:tcPr>
            <w:tcW w:w="3040" w:type="dxa"/>
            <w:vAlign w:val="bottom"/>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540" w:type="dxa"/>
            <w:vAlign w:val="bottom"/>
          </w:tcPr>
          <w:p>
            <w:pPr>
              <w:ind w:left="120"/>
              <w:spacing w:after="0"/>
              <w:rPr>
                <w:sz w:val="20"/>
                <w:szCs w:val="20"/>
                <w:color w:val="auto"/>
              </w:rPr>
            </w:pPr>
            <w:r>
              <w:rPr>
                <w:rFonts w:ascii="Arial" w:cs="Arial" w:eastAsia="Arial" w:hAnsi="Arial"/>
                <w:sz w:val="18"/>
                <w:szCs w:val="18"/>
                <w:color w:val="auto"/>
              </w:rPr>
              <w:t>NM</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560" w:type="dxa"/>
            <w:vAlign w:val="bottom"/>
          </w:tcPr>
          <w:p>
            <w:pPr>
              <w:ind w:left="140"/>
              <w:spacing w:after="0"/>
              <w:rPr>
                <w:sz w:val="20"/>
                <w:szCs w:val="20"/>
                <w:color w:val="auto"/>
              </w:rPr>
            </w:pPr>
            <w:r>
              <w:rPr>
                <w:rFonts w:ascii="Arial" w:cs="Arial" w:eastAsia="Arial" w:hAnsi="Arial"/>
                <w:sz w:val="18"/>
                <w:szCs w:val="18"/>
                <w:color w:val="auto"/>
              </w:rPr>
              <w:t>NM</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Cost of biopharmaceutical revenue: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NM</w:t>
            </w: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540" w:type="dxa"/>
            <w:vAlign w:val="bottom"/>
          </w:tcPr>
          <w:p>
            <w:pPr>
              <w:ind w:left="1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560" w:type="dxa"/>
            <w:vAlign w:val="bottom"/>
          </w:tcPr>
          <w:p>
            <w:pPr>
              <w:ind w:left="140"/>
              <w:spacing w:after="0"/>
              <w:rPr>
                <w:sz w:val="20"/>
                <w:szCs w:val="20"/>
                <w:color w:val="auto"/>
              </w:rPr>
            </w:pPr>
            <w:r>
              <w:rPr>
                <w:rFonts w:ascii="Arial" w:cs="Arial" w:eastAsia="Arial" w:hAnsi="Arial"/>
                <w:sz w:val="18"/>
                <w:szCs w:val="18"/>
                <w:color w:val="auto"/>
              </w:rPr>
              <w:t>NM</w:t>
            </w: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NM</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testing revenue decreased $2.3 million, or 26%, for the three months ended June 30, 2020 compared to the same period in 2019. The decreases in laboratory costs and sample collection costs primarily related to a 44% decrease in the volume of genomic classifiers reported. The increase in compensation expense primarily relates to an average laboratory headcount increase of 11%.</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testing revenue decreased $0.3 million, or 1%, for the six months ended June 30, 2020 compared to the same period in 2019. The decrease in laboratory costs was primarily related to a 15% decrease in the volume of genomic classifiers reported partially offset by a $1.1 million write-down of supplies for the potential expiration of reagents due to an anticipated decline in volumes resulting from the COVID-19 pandemic. The decrease in sample collection costs primarily related to a 15% decrease in the volume of genomic classifiers reported. The increase in compensation expense primarily relates to an average laboratory headcount increase of 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product revenue is related to sales of Prosigna, which commenced in December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biopharmaceutical revenue includes labor costs incurred by our employees working on biopharmaceutical customer projects and pass-through expenses incurred on these projects. Biopharmaceutical revenue recognized in the prior year period was mainly for the sale of sequencing data and had no related costs.</w:t>
      </w:r>
    </w:p>
    <w:p>
      <w:pPr>
        <w:sectPr>
          <w:pgSz w:w="11900" w:h="16838" w:orient="portrait"/>
          <w:cols w:equalWidth="0" w:num="1">
            <w:col w:w="11240"/>
          </w:cols>
          <w:pgMar w:left="320" w:top="140" w:right="339" w:bottom="0" w:gutter="0" w:footer="0" w:header="0"/>
        </w:sectPr>
      </w:pPr>
    </w:p>
    <w:bookmarkStart w:id="27" w:name="page28"/>
    <w:bookmarkEnd w:id="27"/>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Direct research and development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(59)%</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0"/>
        </w:trPr>
        <w:tc>
          <w:tcPr>
            <w:tcW w:w="3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increased $0.8 million, or 25%, for the three months ended June 30, 2020 compared to the same period in 2019. The increase in compensation expense was primarily due to a 12% increase in average headcount and higher stock-based compensation expense from the increase in our stock price over the last two years. The increase in direct research and development expense was mainly due to an increase in clinical trial activity for our pipeline products.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increased $1.8 million, or 27%, for the six months ended June 30, 2020 compared to the same period in 2019. The increase in compensation expense was primarily due to a 15% increase in average headcount and higher stock-based compensation expense from the increase in our stock price over the last two years. The increase in direct research and development expense was mainly due to an increase in clinical trial activity for our pipeline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8,335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8,410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20,850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4,727</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29%</w:t>
            </w: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w:t>
            </w: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(37)%</w:t>
            </w: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w:t>
            </w: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32%</w:t>
            </w:r>
          </w:p>
        </w:tc>
      </w:tr>
      <w:tr>
        <w:trPr>
          <w:trHeight w:val="20"/>
        </w:trPr>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0"/>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 decreased $3.2 million, or 23%, for the three months ended June 30, 2020 compared to the same period in 2019. The decrease in compensation expense was primarily due to the temporary furloughing of employees beginning in April 2020. The decrease in direct marketing expense was due to lower general marketing expenditures. The decrease in other expenses was primarily due to decreased travel and entertainment expenses as a result of COVID-19 travel restrictions.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 increased $1.9 million, or 7%, for the six months ended June 30, 2020 compared to the same period in 2019. The increase in compensation expense was primarily due to an average headcount increase of 52%, higher incentive compensation and higher stock-based compensation expense partially offset by the temporary furloughing of employees beginning in April 2020. The decrease in direct marketing expense was due to lower general marketing expenditures. The decrease in other expenses was primarily due to decreased travel and entertainment expenses as a result of COVID-19 travel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2020 and 2019 is as follows (in thousands of dollars,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5,104</w:t>
            </w:r>
          </w:p>
        </w:tc>
        <w:tc>
          <w:tcPr>
            <w:tcW w:w="16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10,092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Occupancy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r>
      <w:tr>
        <w:trPr>
          <w:trHeight w:val="20"/>
        </w:trPr>
        <w:tc>
          <w:tcPr>
            <w:tcW w:w="3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15,770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13,824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14%</w:t>
            </w: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15" w:orient="portrait"/>
          <w:cols w:equalWidth="0" w:num="1">
            <w:col w:w="11240"/>
          </w:cols>
          <w:pgMar w:left="320" w:top="125" w:right="339" w:bottom="0" w:gutter="0" w:footer="0" w:header="0"/>
        </w:sectPr>
      </w:pPr>
    </w:p>
    <w:p>
      <w:pPr>
        <w:spacing w:after="0" w:line="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General and administrative expense increased $1.0 million, or 15%, for the three months ended June 30, 2020 compared to the same period in 2019. The increase in compensation expense was primarily due to higher stock-based compensation expense from the increase in our stock price over the</w:t>
      </w:r>
    </w:p>
    <w:p>
      <w:pPr>
        <w:sectPr>
          <w:pgSz w:w="11900" w:h="16915" w:orient="portrait"/>
          <w:cols w:equalWidth="0" w:num="1">
            <w:col w:w="11240"/>
          </w:cols>
          <w:pgMar w:left="320" w:top="125" w:right="339" w:bottom="0" w:gutter="0" w:footer="0" w:header="0"/>
          <w:type w:val="continuous"/>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last two years. The increase in professional fees was primarily consulting and legal-related. The increase in other expenses was primarily due to the revaluation of the contingent consideration for the NanoString transaction.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$1.9 million, or 14%, for the six months ended June 30, 2020 compared to the same period in 2019. The increase in compensation expense was primarily due to higher stock-based compensation expense from the increase in our stock price over the last two years. The increase in professional fees was primarily accounting and consulting-related. The decrease in other expenses was primarily due to the revaluation of the contingent consideration for the NanoString transaction.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decreased $170,000, or 72%, for the three months ended June 30, 2020 compared to the same period in 2019, mainly due to the prepayments of $12.5 million and $12.4 million of the principal amount of our Term Loan Advance in January 2019 and May 2019, respectively. The average Term Loan Advance interest rate was 5.4% and 7.8% for the three months ended June 30, 2020 and 2019, respectively.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decreased $418,000, or 78%, for the six months ended June 30, 2020 compared to the same period in 2019, mainly due to the prepayments of $12.5 million and $12.4 million of the principal amount of our Term Loan Advance in January 2019 and May 2019, respectively. The average Term Loan Advance interest rate was 5.6% and 7.2% for the six months ended June 30,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net, decreased $750,000 for the three months ended June 30, 2020 compared to the same period in 2019 primarily due to lower dividend and interest income from our investments and cash and cash equivalents.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net, decreased $664,000 for the six months ended June 30, 2020 compared to the same period in 2019 primarily due to lower dividend and interest income from our investments cash and cash equivalents.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June 30, 2020, we have been financed primarily through net proceeds from the sale of our equity securities and borrowings under our credit facilities. We have incurred net losses since our inception. For the six months ended June 30, 2020, we had a net loss of $22.7 million, and as of June 30, 2020, we had an accumulated deficit of $269.4 million. We expect to incur additional losses for the remainder of 2020 and potentially in future years.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believe our existing cash and cash equivalents of $147.5 million as of June 30, 2020, our available revolving line of credit,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w:t>
      </w:r>
    </w:p>
    <w:p>
      <w:pPr>
        <w:sectPr>
          <w:pgSz w:w="11900" w:h="16838" w:orient="portrait"/>
          <w:cols w:equalWidth="0" w:num="1">
            <w:col w:w="11240"/>
          </w:cols>
          <w:pgMar w:left="320" w:top="125" w:right="339" w:bottom="0" w:gutter="0" w:footer="0" w:header="0"/>
        </w:sectPr>
      </w:pPr>
    </w:p>
    <w:bookmarkStart w:id="29" w:name="page30"/>
    <w:bookmarkEnd w:id="29"/>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rate of 4.70% per annum. We are also required to pay an annual facility fee on the Revolving Line of Credit of $25,000. The average Term Loan Advance interest rate for the six months ended June 30, 2020 was 5.6%.</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$1.2 million is due upon the earlier of the maturity date of the Term Loan Advance or its payment in full. In January 2019 and May 2019, we prepaid $12.5 million and $12.4 million of the principal amount of the Term Loan Advance, respectively, and did not incur any prepayment premium as we did not repay the Term Loan Advance in full. These prepayments cover scheduled principal payments from November 2019 to September 2022.</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June 30, 2020, the principal balance outstanding was $0.1 million and we were in compliance with our debt covenants.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2020 and 2019 (in thousands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(13,724)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used in operating activities for the six months ended June 30, 2020 was $13.7 million. The net loss of $22.7 million includes non-cash charges of $6.3 million of stock-based compensation expense, $3.9 million of depreciation and amortization, which includes $2.5 million of intangible asset amortization, a $1.1 million write-down of supplies, and a $140,000 credit for the revaluation of the contingent consideration related to the NanoString transaction. Cash used as a result of changes in operating assets and liabilities was $2.7 million, primarily comprised of a decrease in accrued liabilities of $4.3 million, an increase in supplies of $1.3 million, a decrease in operating lease liability of $0.7 million and an increase in prepaid expense and other current assets of $0.7 million, partially offset by a decrease in accounts receivable of $4.0 million.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operating activities for the six months ended June 30, 2019 was $3.5 million. The net loss of $4.4 million includes non-cash charges of $4.3 million of stock-based compensation expense and $1.9 million of depreciation and amortization, which includes $0.5 million of intangible asset amortization. Cash used as a result of changes in operating assets and liabilities was $5.9 million, primarily comprised of an increase in accounts receivable of $6.5 million and increase in supplies of $1.7 million, partially offset by increases in accounts payable and accrued liabilities of $1.7 million and $1.3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six months ended June 30, 2020 was $1.3 million for the acquisition of property and equipment.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2019 was $1.4 million for the acquisition of property and equipment, net of proceeds from the disposal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provided by financing activities for the six months ended June 30, 2020 was $3.2 million, consisting of $5.8 million in proceeds from the exercise of options to purchase our common stock and purchase of stock under our Employee Stock Purchase Plan, or ESPP, partially offset by $2.7 million in tax payments during the period related to the vesting of restricted stock units granted to employees.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2019 was $119.5 million, consisting of $137.8 million in net proceeds from the issuance of common stock in a public offering in May 2019 and $6.7 million in proceeds from the exercise of options to purchase our common stock and purchase of stock under our Employee Stock Purchase Plan, or ESPP, during the period, partially offset by $24.9 million of loan principal repayments and finance lease payments of $0.2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January 2019 and May 2019, we prepaid $12.5 million and $12.4 million of the principal amount of the Term Loan Advance, respectively, under our Loan and Security Agreement. As of June 30, 2020, future principal and end-of-term debt obligation payments due under the Loan and Security</w:t>
      </w:r>
    </w:p>
    <w:p>
      <w:pPr>
        <w:sectPr>
          <w:pgSz w:w="11900" w:h="16888" w:orient="portrait"/>
          <w:cols w:equalWidth="0" w:num="1">
            <w:col w:w="11240"/>
          </w:cols>
          <w:pgMar w:left="320" w:top="125" w:right="339" w:bottom="0" w:gutter="0" w:footer="0" w:header="0"/>
        </w:sectPr>
      </w:pPr>
    </w:p>
    <w:bookmarkStart w:id="30" w:name="page31"/>
    <w:bookmarkEnd w:id="30"/>
    <w:p>
      <w:pPr>
        <w:jc w:val="both"/>
        <w:ind w:right="20"/>
        <w:spacing w:after="0" w:line="308" w:lineRule="auto"/>
        <w:rPr>
          <w:sz w:val="20"/>
          <w:szCs w:val="20"/>
          <w:color w:val="auto"/>
        </w:rPr>
      </w:pPr>
      <w:r>
        <w:rPr>
          <w:rFonts w:ascii="Arial" w:cs="Arial" w:eastAsia="Arial" w:hAnsi="Arial"/>
          <w:sz w:val="17"/>
          <w:szCs w:val="17"/>
          <w:color w:val="auto"/>
        </w:rPr>
        <w:t>Agreement are limited to $1.3 million in 2022. There were no material changes during the interim period in the contractual obligations presented in our Form 10-K for the year ended December 31, 2019 filed with the Securities and Exchange Commission on February 25,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us beginning January 1, 2020. Based on the composition of our trade receivables, investment portfolio and other financial assets, current economic conditions and historical credit loss activity, the adoption of this standard did not have a material impact on our condensed consolidated financial statements and related disclosures.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adopted this ASU in 2019 with no cumulative-effect adjustments or retrospective impact.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clarifies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 cloud computing arrangements. This standard became effective for us on January 1, 2020, and was adopted on a prospective basis with no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$147.5 million as of June 30, 2020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continuously seek to improve the efficiency and effectiveness of our internal controls. This results in refinements to processes throughout the Company. There were no changes in our internal control over financial reporting (as such term is defined in Rule 13a-15(f) under the Exchange Act) identified in connection with the evaluation identified above that occurred during the quarter ended June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ectPr>
          <w:pgSz w:w="11900" w:h="16838" w:orient="portrait"/>
          <w:cols w:equalWidth="0" w:num="1">
            <w:col w:w="11240"/>
          </w:cols>
          <w:pgMar w:left="320" w:top="125" w:right="3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incurred net losses since our inception. For the six months ended June 30, 2020, we had a net loss of $22.7 million and as of June 30, 2020, we had an accumulated deficit of $269.4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has had an adverse effect on our business, results of operations and financial condition.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During the second half of March 2020 through the date of this filing, we experienced a significant decline in the volume of samples received resulting in a significant decline in revenue and it is currently unclear how long we will continue to experience decreased sample volumes and levels of revenue.</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70"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manage our business effectively due to key employees becoming ill, working from home inefficiently and being unable to travel to our facilities.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our customers, suppliers, third-party contract manufacturers, and collaboration partners may be prevented from operating worksites, including manufacturing facilities, due to employee illness or reluctance to appear at work and “stay-at-home” regulations.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in manufacturing (including the sourcing of reagents) and shipment of our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patient demand for, or provider capacity to deliver, diagnostic testing and elective procedures generally.</w:t>
      </w:r>
    </w:p>
    <w:p>
      <w:pPr>
        <w:spacing w:after="0" w:line="36"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of the operations of our third-party contract manufacturers and suppliers, which could impact our ability to purchase components at efficient prices and in sufficient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need to raise capital, and if we raise capital by issuing equity securities, our common stock may be diluted.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our common stock may drop or remain volatile.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incur significant employee health care costs under our insurance programs.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and Prosigna tests, or develop and commercialize other solutions, our revenue and our ability to achieve and sustain profitability would be impaired, and the market price of our common stock could decline.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for tests performed on patients covered by Medicare and UnitedHealthcare Group was 23% and 10%, respectively, of our revenue for the six months ended June 30, 2020, compared with 24% and 11%, respectively, for the six months ended June 30, 2019.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w:t>
      </w:r>
    </w:p>
    <w:p>
      <w:pPr>
        <w:sectPr>
          <w:pgSz w:w="11900" w:h="16838" w:orient="portrait"/>
          <w:cols w:equalWidth="0" w:num="1">
            <w:col w:w="11240"/>
          </w:cols>
          <w:pgMar w:left="320" w:top="121" w:right="339" w:bottom="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through the Molecular Diagnostics Services Program, or MolDX program, administered by Palmetto GBA, under a Local Coverage Determination, or LCD.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submitted the dossier of clinical evidence needed to obtain Medicare coverage for the Envisia Genomic Classifier through the MolDX technical assessment process in 2018, and received notice of Medicare coverage for the classifier in the first quarter of 2019, with an effective date of April 1,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LCD was issued for Prosigna by Palmetto GBA in August 2015, which has been in effect since October 1, 2015.</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 five-year rotational basis, Medicare requests bids for its regional MAC services. Any future changes in the MAC processing or coding for Medicare claims for the Afirma, Percepta or Envisia classifiers, or for Prosigna, could result in a change in the coverage or reimbursement rates for such products, or the loss of coverage, and could also result in increased difficulties in obtaining and maintaining coverage for future products.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(CARES) Act, Congress further delayed the next reporting period to 2022 for final payments made between January 1 and June 30, 2019, extending the applicability of the payment rates based on 2017 reporting through December 31, 2022.</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transition from Afirma GEC to Afirma GSC, a new CPT Category I code (81XX2) was established for the Afirma classifier, effective January 1, 2021. This code is currently going through the national payment determination process for Medicare. Although we expect this code to be priced at the same rate of $3,600 as 81545, there can be no assurance that CMS will not price the new code at a lower payment rate. New CPT Proprietary Laboratory Analyses (PLA) codes have also been established for Afirma Xpresion Atlas (0204U) and Afirma MTC (0208U), effective October 1, 2020. These codes are also going through the national payment determination process for Medicare. There is likewise no assurance that CMS will not price these codes at a lower than expected rate.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81XX2 is priced, we expect the volume-weighted median of private payer rates for final payments made from January through June 2019 under 81545 to be reported in January through March 2022 under 81XX2. We expect the weighted median of these rates to set the payment rate for the Afirma classifier (under 81XX2) from January 1, 2023 through December 31, 2025. There can be no assurance that the Afirma or Prosigna rates (or the rates for Afirma Xpersion Atlas or Afirma MTC) will not decrease during this or a subsequent reporting cycle under PAMA.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medians of private payer rates when we are required to report private payer rates for Percepta under PAMA.</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submit claims to Medicare for Envisia using an unlisted code under the MolDX program. A specific CPT code (81XX1) was assigned to Envisia, effective January 1, 2021. We have applied for New Advanced Diagnostic Laboratory Test (ADLT) designation for Envisia. We believe our Envisia classifier would be considered an ADLT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the reported private payer rates (by more than 30%), CMS will have the ability to recoup excess payments made during the initial nine-month payment period. There can be no assurance that our Envisia classifier will be designated as an ADLT or that the payment rates for our Envisia classifier would not be adversely affected by such designation. Moreover, if Envisia is designated as an ADLT, we will be required to report private payer rates for the test to CMS annually. There can also be no assurance that the Medicare payment rate for Envisia will not be reduced when it is set based on the volume-weighted medians of private payer rates when we are required to report private payer rates for Envisia under PAMA.</w:t>
      </w:r>
    </w:p>
    <w:p>
      <w:pPr>
        <w:spacing w:after="0" w:line="18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Until it is approved as an ADLT (or if it is not approved as an ADLT), Envisia will be required to go through the national payment determination process, and there can be no assurance that the Medicare payment rate Envisia receives through this process will not be lower than its current rate.</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Moreover, 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the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ectPr>
          <w:pgSz w:w="11900" w:h="16838" w:orient="portrait"/>
          <w:cols w:equalWidth="0" w:num="1">
            <w:col w:w="11240"/>
          </w:cols>
          <w:pgMar w:left="320" w:top="125" w:right="339" w:bottom="109"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Percepta, and Envisia classifiers, Prosigna and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and Envisia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judicial challenges to and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ectPr>
          <w:pgSz w:w="11900" w:h="16838" w:orient="portrait"/>
          <w:cols w:equalWidth="0" w:num="1">
            <w:col w:w="11240"/>
          </w:cols>
          <w:pgMar w:left="320" w:top="125" w:right="339" w:bottom="0" w:gutter="0" w:footer="0" w:header="0"/>
        </w:sectPr>
      </w:pPr>
    </w:p>
    <w:bookmarkStart w:id="34" w:name="page35"/>
    <w:bookmarkEnd w:id="34"/>
    <w:p>
      <w:pPr>
        <w:jc w:val="both"/>
        <w:ind w:firstLine="648"/>
        <w:spacing w:after="0" w:line="29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successful in integrating the assets acquired from NanoString or if our general strategy of seeking growth through such acquisitions and collaborations is not successful, our prospects and financial condition will suffer.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recently acquired assets, such as the nCounter Analysis System and Prosigna in December 2019, and we may pursue additional acquisitions of complementary businesses or assets as part of our business strategy. To date, we have limited experience with respect to acquisitions and the formation of strategic alliances and joint ventures. There can be no assurance that we will successfully integrate the assets acquired from NanoString successfully into our existing business, or that our exclusive worldwide license to the nCounter system for in vitro diagnostic use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previously entered into technology licensing and collaboration arrangements, such as our collaboration with Johnson &amp; Johnson in December 2018 and with Acerta Pharma, the hematology research and development arm of AstraZeneca, in December 2019,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rely on sole suppliers for critical supply of reagents, equipment, chips and other materials that we use to perform our tests and for the manufacture of the nCounter systems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 NanoString for the supply of the nCounter systems for diagnostic use and Prosigna test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chips and other materials in a timely manner or at 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challenge, repeal or amend the ACA are ongoing. We cannot predict if, or when, the ACA will be repealed or amended, and cannot predict the impact that an amendment or repeal of the ACA will have on our business.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w:t>
      </w:r>
    </w:p>
    <w:p>
      <w:pPr>
        <w:sectPr>
          <w:pgSz w:w="11900" w:h="16838" w:orient="portrait"/>
          <w:cols w:equalWidth="0" w:num="1">
            <w:col w:w="11240"/>
          </w:cols>
          <w:pgMar w:left="320" w:top="341" w:right="339" w:bottom="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We expect the weighted median of these rates to set the payment rate for the Afirma classifier from January 1, 2023 through December 31, 2025. There can be no assurance that the payment rate for Afirma or Prosigna will not decrease in the future or that the payment rates for Percepta or Envisia will not be adversely affected by the PAMA law and regulations.</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along with Prosigna, should be covered by this policy. Accordingly, we bill Medicare for these tests when we perform them on specimens collected from hospital outpatients and meet the conditions set forth in CMS's revised billing rules.</w:t>
      </w:r>
    </w:p>
    <w:p>
      <w:pPr>
        <w:sectPr>
          <w:pgSz w:w="11900" w:h="16838" w:orient="portrait"/>
          <w:cols w:equalWidth="0" w:num="1">
            <w:col w:w="11240"/>
          </w:cols>
          <w:pgMar w:left="320" w:top="341" w:right="339" w:bottom="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CY 2020 Hospital Outpatient Prospective Payment System Proposed Rule, CMS solicited comments on potential revisions to these billing rules that could have impacted our ability to bill Medicare directly for our Afirma, Percepta, and Envisia classifiers, as well as for Prosigna, when performed on specimens collected from hospital outpatients. Although these changes were not finalized, if CMS makes similar changes in the future, it could negatively impact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must maintain CLIA compliance and certification to sell our tests and be eligible to bill for diagnostic services provided to Medicare beneficiaries.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but would subject some 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FDA were to require us to seek clearance or approval for our existing tests or any of our future products for clinical use, we may not be able to obtain such approvals on a timely basis, or at all. While we believe our Afirma, Percepta and Envisia classifiers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ectPr>
          <w:pgSz w:w="11900" w:h="16838" w:orient="portrait"/>
          <w:cols w:equalWidth="0" w:num="1">
            <w:col w:w="11240"/>
          </w:cols>
          <w:pgMar w:left="320" w:top="341" w:right="339" w:bottom="0" w:gutter="0" w:footer="0" w:header="0"/>
        </w:sectPr>
      </w:pPr>
    </w:p>
    <w:bookmarkStart w:id="38" w:name="page39"/>
    <w:bookmarkEnd w:id="38"/>
    <w:p>
      <w:pPr>
        <w:jc w:val="both"/>
        <w:ind w:firstLine="648"/>
        <w:spacing w:after="0" w:line="254" w:lineRule="auto"/>
        <w:rPr>
          <w:sz w:val="20"/>
          <w:szCs w:val="20"/>
          <w:color w:val="auto"/>
        </w:rPr>
      </w:pPr>
      <w:r>
        <w:rPr>
          <w:rFonts w:ascii="Arial" w:cs="Arial" w:eastAsia="Arial" w:hAnsi="Arial"/>
          <w:sz w:val="18"/>
          <w:szCs w:val="18"/>
          <w:color w:val="auto"/>
        </w:rPr>
        <w:t>Before we begin to label and market some of our products for use as clinical diagnostics in the United States, unless an exemption applies, we are required to obtain clearance from FDA by submitting a premarket notification under section 510(k) of the Federal Food, Drug, and Cosmetic Act, or FDC Act, or 510(k), or approval from FDA by submitting a premarket approval, or PMA. We may also be able to obtain marketing authorization through a De Novo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2014, the FDA issued a final guidance document titled In Vitro Companion Diagnostic Devices. In the guidance,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FDA expects that most companion diagnostics will be Class</w:t>
      </w:r>
    </w:p>
    <w:p>
      <w:pPr>
        <w:spacing w:after="0" w:line="2" w:lineRule="exact"/>
        <w:rPr>
          <w:sz w:val="20"/>
          <w:szCs w:val="20"/>
          <w:color w:val="auto"/>
        </w:rPr>
      </w:pPr>
    </w:p>
    <w:p>
      <w:pPr>
        <w:jc w:val="both"/>
        <w:ind w:firstLine="8"/>
        <w:spacing w:after="0" w:line="273" w:lineRule="auto"/>
        <w:tabs>
          <w:tab w:leader="none" w:pos="2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2016, the FDA issued guidance pertaining to the co-development of companion diagnostic tests with a therapeutic product.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our nCounter systems for clinical use in that jurisdiction, as the lack of a robust menu of available diagnostic tests would make those systems less attractive to testing laboratories.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cannot assure investors that we will be successful in obtaining regulatory clearances, approvals, or marketing authorizations. If we do not obtain regulatory clearances,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ongoing and extensive regulatory requirements, and our failure to comply with these requirements could substantially harm our business.</w:t>
      </w:r>
    </w:p>
    <w:p>
      <w:pPr>
        <w:sectPr>
          <w:pgSz w:w="11900" w:h="16838" w:orient="portrait"/>
          <w:cols w:equalWidth="0" w:num="1">
            <w:col w:w="11240"/>
          </w:cols>
          <w:pgMar w:left="320" w:top="125" w:right="339" w:bottom="0" w:gutter="0" w:footer="0" w:header="0"/>
        </w:sectPr>
      </w:pPr>
    </w:p>
    <w:bookmarkStart w:id="39" w:name="page40"/>
    <w:bookmarkEnd w:id="39"/>
    <w:p>
      <w:pPr>
        <w:jc w:val="both"/>
        <w:ind w:firstLine="648"/>
        <w:spacing w:after="0" w:line="269" w:lineRule="auto"/>
        <w:rPr>
          <w:sz w:val="20"/>
          <w:szCs w:val="20"/>
          <w:color w:val="auto"/>
        </w:rPr>
      </w:pPr>
      <w:r>
        <w:rPr>
          <w:rFonts w:ascii="Arial" w:cs="Arial" w:eastAsia="Arial" w:hAnsi="Arial"/>
          <w:sz w:val="17"/>
          <w:szCs w:val="17"/>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ectPr>
          <w:pgSz w:w="11900" w:h="16838" w:orient="portrait"/>
          <w:cols w:equalWidth="0" w:num="1">
            <w:col w:w="11240"/>
          </w:cols>
          <w:pgMar w:left="320" w:top="125" w:right="339" w:bottom="0" w:gutter="0" w:footer="0" w:header="0"/>
        </w:sectPr>
      </w:pPr>
    </w:p>
    <w:bookmarkStart w:id="40" w:name="page41"/>
    <w:bookmarkEnd w:id="40"/>
    <w:p>
      <w:pPr>
        <w:jc w:val="both"/>
        <w:ind w:firstLine="648"/>
        <w:spacing w:after="0" w:line="279"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including due to illness resulting from COVID-19, we may experience difficulties in competing effectively, developing our technologies and implementing our business strategy.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or acquire, such as Prosigna,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payers, such as Medicare and Medicaid, including requirements to have an active CLIA certificate;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 and other government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standard industry billing codes, known as CPT codes, to bill for cytopathology. In addition, we use the CPT code 81545 to bill for our Afirma classifier. Effective January 1, 2021, we will use the new CPT code 81XX2 to bill for our Afirma classifier. Effective October 1, 2020, we will use the new CPT code 0204U to bill for Afirma Xpresion Atlas, and the new CPT code 0208U to bill for Afirma MTC. Effective January 1, 2021, we will use the new CPT code 81XX1 to bill for our Envisia classifier.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ectPr>
          <w:pgSz w:w="11900" w:h="16838" w:orient="portrait"/>
          <w:cols w:equalWidth="0" w:num="1">
            <w:col w:w="11240"/>
          </w:cols>
          <w:pgMar w:left="320" w:top="125" w:right="339" w:bottom="0" w:gutter="0" w:footer="0" w:header="0"/>
        </w:sectPr>
      </w:pPr>
    </w:p>
    <w:bookmarkStart w:id="41" w:name="page42"/>
    <w:bookmarkEnd w:id="41"/>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ectPr>
          <w:pgSz w:w="11900" w:h="16838" w:orient="portrait"/>
          <w:cols w:equalWidth="0" w:num="1">
            <w:col w:w="11240"/>
          </w:cols>
          <w:pgMar w:left="320" w:top="125" w:right="339" w:bottom="0" w:gutter="0" w:footer="0" w:header="0"/>
        </w:sectPr>
      </w:pPr>
    </w:p>
    <w:bookmarkStart w:id="42" w:name="page43"/>
    <w:bookmarkEnd w:id="42"/>
    <w:p>
      <w:pPr>
        <w:jc w:val="both"/>
        <w:ind w:firstLine="648"/>
        <w:spacing w:after="0" w:line="273"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5"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6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Eliminating Kickbacks in Recovery Act of 2018, which prohibits the solicitation, receipt, payment or offering of any remuneration in</w:t>
      </w:r>
    </w:p>
    <w:p>
      <w:pPr>
        <w:sectPr>
          <w:pgSz w:w="11900" w:h="16838" w:orient="portrait"/>
          <w:cols w:equalWidth="0" w:num="1">
            <w:col w:w="11240"/>
          </w:cols>
          <w:pgMar w:left="320" w:top="341" w:right="339" w:bottom="0" w:gutter="0" w:footer="0" w:header="0"/>
        </w:sectPr>
      </w:pPr>
    </w:p>
    <w:bookmarkStart w:id="43" w:name="page44"/>
    <w:bookmarkEnd w:id="43"/>
    <w:p>
      <w:pPr>
        <w:ind w:left="980"/>
        <w:spacing w:after="0" w:line="277" w:lineRule="auto"/>
        <w:rPr>
          <w:sz w:val="20"/>
          <w:szCs w:val="20"/>
          <w:color w:val="auto"/>
        </w:rPr>
      </w:pPr>
      <w:r>
        <w:rPr>
          <w:rFonts w:ascii="Arial" w:cs="Arial" w:eastAsia="Arial" w:hAnsi="Arial"/>
          <w:sz w:val="18"/>
          <w:szCs w:val="18"/>
          <w:color w:val="auto"/>
        </w:rPr>
        <w:t>return for referring a patient or patronage to a recovery home, clinical treatment facility, or laboratory for services covered by both government and private payers;</w:t>
      </w:r>
    </w:p>
    <w:p>
      <w:pPr>
        <w:spacing w:after="0" w:line="170" w:lineRule="exact"/>
        <w:rPr>
          <w:sz w:val="20"/>
          <w:szCs w:val="20"/>
          <w:color w:val="auto"/>
        </w:rPr>
      </w:pPr>
    </w:p>
    <w:p>
      <w:pPr>
        <w:jc w:val="both"/>
        <w:ind w:left="980" w:right="2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ectPr>
          <w:pgSz w:w="11900" w:h="16838" w:orient="portrait"/>
          <w:cols w:equalWidth="0" w:num="1">
            <w:col w:w="11240"/>
          </w:cols>
          <w:pgMar w:left="320" w:top="125" w:right="339" w:bottom="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4"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established distribution agreements for our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and Prosigna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 of disruptions caused by pandemics, political events, war, terrorism, earthquakes, fire, power outages, floods, and other catastrophic events.</w:t>
      </w:r>
    </w:p>
    <w:p>
      <w:pPr>
        <w:sectPr>
          <w:pgSz w:w="11900" w:h="16838" w:orient="portrait"/>
          <w:cols w:equalWidth="0" w:num="1">
            <w:col w:w="11240"/>
          </w:cols>
          <w:pgMar w:left="320" w:top="125" w:right="339" w:bottom="0" w:gutter="0" w:footer="0" w:header="0"/>
        </w:sectPr>
      </w:pPr>
    </w:p>
    <w:bookmarkStart w:id="45" w:name="page46"/>
    <w:bookmarkEnd w:id="45"/>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perform all of the Afirma, Percepta and Envisia genomic classifier testing at our laboratory in South San Francisco, California, near major earthquake faults known for seismic activity and in a region affected by wildfires.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71"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w:t>
      </w:r>
    </w:p>
    <w:p>
      <w:pPr>
        <w:sectPr>
          <w:pgSz w:w="11900" w:h="16855" w:orient="portrait"/>
          <w:cols w:equalWidth="0" w:num="1">
            <w:col w:w="11240"/>
          </w:cols>
          <w:pgMar w:left="320" w:top="125" w:right="339" w:bottom="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7"/>
          <w:szCs w:val="17"/>
          <w:color w:val="auto"/>
        </w:rPr>
        <w:t>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On July 16, 2020, the Court of Justice of the European Union issued a decision invalidating outright the EU-US Privacy Shield framework which companies rely on to transfer data from the European Union to the United States. As a result, we may need to modify the way we treat such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2029 and 2035 and are related to methods used in thyroid diagnostics, lung diagnostics, breast cancer diagnostics, and the nCounter analysis platform.</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ectPr>
          <w:pgSz w:w="11900" w:h="16838" w:orient="portrait"/>
          <w:cols w:equalWidth="0" w:num="1">
            <w:col w:w="11240"/>
          </w:cols>
          <w:pgMar w:left="320" w:top="125" w:right="339" w:bottom="0" w:gutter="0" w:footer="0" w:header="0"/>
        </w:sectPr>
      </w:pPr>
    </w:p>
    <w:bookmarkStart w:id="47" w:name="page48"/>
    <w:bookmarkEnd w:id="47"/>
    <w:p>
      <w:pPr>
        <w:spacing w:after="0" w:line="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w:t>
      </w:r>
    </w:p>
    <w:p>
      <w:pPr>
        <w:sectPr>
          <w:pgSz w:w="11900" w:h="16861" w:orient="portrait"/>
          <w:cols w:equalWidth="0" w:num="1">
            <w:col w:w="11240"/>
          </w:cols>
          <w:pgMar w:left="320" w:top="341" w:right="339" w:bottom="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incurred net losses since our inception and may never achieve profitability. As of December 31, 2019, we had net operating loss, or NOL, carryforwards of approximately $236.9 million, $58.3 million and $45.2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27, 2020, the Coronavirus Aid, Relief, and Economic Security Act, or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consolidated financial statements during the period in which any impairment of our goodwill or intangible assets is determined, that would negatively affect our operating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condensed consolidated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ectPr>
          <w:pgSz w:w="11900" w:h="16838" w:orient="portrait"/>
          <w:cols w:equalWidth="0" w:num="1">
            <w:col w:w="11240"/>
          </w:cols>
          <w:pgMar w:left="320" w:top="125" w:right="339" w:bottom="75"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now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global macroeconomic impact of the current COVID-19 outbreak;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w:t>
      </w:r>
    </w:p>
    <w:p>
      <w:pPr>
        <w:sectPr>
          <w:pgSz w:w="11900" w:h="16838" w:orient="portrait"/>
          <w:cols w:equalWidth="0" w:num="1">
            <w:col w:w="11240"/>
          </w:cols>
          <w:pgMar w:left="320" w:top="121" w:right="339" w:bottom="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overall market and the market price of a particular company’s securities, securities class action litigation has often been instituted against these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litigation, if instituted against us, could result in substantial costs and a diversion of our management’s attention and resources.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75"/>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00"/>
        </w:trPr>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89"/>
              </w:rPr>
              <w:t>Incorporated by Reference</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9"/>
        </w:trPr>
        <w:tc>
          <w:tcPr>
            <w:tcW w:w="2540" w:type="dxa"/>
            <w:vAlign w:val="bottom"/>
            <w:gridSpan w:val="3"/>
          </w:tcPr>
          <w:p>
            <w:pPr>
              <w:ind w:left="1040"/>
              <w:spacing w:after="0"/>
              <w:rPr>
                <w:sz w:val="20"/>
                <w:szCs w:val="20"/>
                <w:color w:val="auto"/>
              </w:rPr>
            </w:pPr>
            <w:r>
              <w:rPr>
                <w:rFonts w:ascii="Arial" w:cs="Arial" w:eastAsia="Arial" w:hAnsi="Arial"/>
                <w:sz w:val="18"/>
                <w:szCs w:val="18"/>
                <w:b w:val="1"/>
                <w:bCs w:val="1"/>
                <w:color w:val="auto"/>
              </w:rPr>
              <w:t>Exhibit</w:t>
            </w:r>
          </w:p>
        </w:tc>
        <w:tc>
          <w:tcPr>
            <w:tcW w:w="2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0"/>
                <w:szCs w:val="20"/>
                <w:color w:val="auto"/>
              </w:rPr>
            </w:pPr>
          </w:p>
        </w:tc>
        <w:tc>
          <w:tcPr>
            <w:tcW w:w="398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60" w:type="dxa"/>
            <w:vAlign w:val="bottom"/>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7"/>
        </w:trPr>
        <w:tc>
          <w:tcPr>
            <w:tcW w:w="2540" w:type="dxa"/>
            <w:vAlign w:val="bottom"/>
            <w:gridSpan w:val="3"/>
          </w:tcPr>
          <w:p>
            <w:pPr>
              <w:jc w:val="right"/>
              <w:ind w:right="34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3.1</w:t>
              </w:r>
            </w:hyperlink>
          </w:p>
        </w:tc>
        <w:tc>
          <w:tcPr>
            <w:tcW w:w="4040" w:type="dxa"/>
            <w:vAlign w:val="bottom"/>
            <w:gridSpan w:val="4"/>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Amended and Restated Bylaws of the Registrant</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001-36156</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5/6/2020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2540" w:type="dxa"/>
            <w:vAlign w:val="bottom"/>
            <w:gridSpan w:val="3"/>
          </w:tcPr>
          <w:p>
            <w:pPr>
              <w:jc w:val="right"/>
              <w:ind w:right="340"/>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10.1#</w:t>
              </w:r>
            </w:hyperlink>
          </w:p>
        </w:tc>
        <w:tc>
          <w:tcPr>
            <w:tcW w:w="4040" w:type="dxa"/>
            <w:vAlign w:val="bottom"/>
            <w:gridSpan w:val="4"/>
          </w:tcPr>
          <w:p>
            <w:pPr>
              <w:spacing w:after="0"/>
              <w:rPr>
                <w:rFonts w:ascii="Arial" w:cs="Arial" w:eastAsia="Arial" w:hAnsi="Arial"/>
                <w:sz w:val="18"/>
                <w:szCs w:val="18"/>
                <w:u w:val="single" w:color="auto"/>
                <w:color w:val="0000EE"/>
                <w:w w:val="90"/>
              </w:rPr>
            </w:pPr>
            <w:hyperlink r:id="rId83">
              <w:r>
                <w:rPr>
                  <w:rFonts w:ascii="Arial" w:cs="Arial" w:eastAsia="Arial" w:hAnsi="Arial"/>
                  <w:sz w:val="18"/>
                  <w:szCs w:val="18"/>
                  <w:u w:val="single" w:color="auto"/>
                  <w:color w:val="0000EE"/>
                  <w:w w:val="90"/>
                </w:rPr>
                <w:t>Amended and Restated Employee Stock Purchase Plan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001-36156</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6/9/2020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2540" w:type="dxa"/>
            <w:vAlign w:val="bottom"/>
            <w:gridSpan w:val="3"/>
          </w:tcPr>
          <w:p>
            <w:pPr>
              <w:jc w:val="right"/>
              <w:ind w:right="3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10.2#</w:t>
              </w:r>
            </w:hyperlink>
          </w:p>
        </w:tc>
        <w:tc>
          <w:tcPr>
            <w:tcW w:w="34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Enrollment Form for the Amended and Restated</w:t>
              </w:r>
            </w:hyperlink>
          </w:p>
        </w:tc>
        <w:tc>
          <w:tcPr>
            <w:tcW w:w="56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Employee Stock Purchase Plan</w:t>
              </w:r>
            </w:hyperlink>
          </w:p>
        </w:tc>
        <w:tc>
          <w:tcPr>
            <w:tcW w:w="18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11240"/>
          </w:cols>
          <w:pgMar w:left="320" w:top="125" w:right="339" w:bottom="0" w:gutter="0" w:footer="0" w:header="0"/>
        </w:sectPr>
      </w:pPr>
    </w:p>
    <w:bookmarkStart w:id="51" w:name="page52"/>
    <w:bookmarkEnd w:id="51"/>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1500" w:type="dxa"/>
            <w:vAlign w:val="bottom"/>
            <w:gridSpan w:val="2"/>
          </w:tcPr>
          <w:p>
            <w:pPr>
              <w:jc w:val="right"/>
              <w:ind w:right="3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31.1</w:t>
              </w:r>
            </w:hyperlink>
          </w:p>
        </w:tc>
        <w:tc>
          <w:tcPr>
            <w:tcW w:w="600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of Principal Executive Officer pursuant to</w:t>
              </w:r>
            </w:hyperlink>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Rules 13a-14(a)/15d-14(a), as adopted pursuant to</w:t>
              </w:r>
            </w:hyperlink>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Borders>
              <w:top w:val="single" w:sz="8" w:color="0000EE"/>
            </w:tcBorders>
            <w:gridSpan w:val="3"/>
          </w:tcPr>
          <w:p>
            <w:pPr>
              <w:spacing w:after="0"/>
              <w:rPr>
                <w:rFonts w:ascii="Arial" w:cs="Arial" w:eastAsia="Arial" w:hAnsi="Arial"/>
                <w:sz w:val="18"/>
                <w:szCs w:val="18"/>
                <w:u w:val="single" w:color="auto"/>
                <w:color w:val="0000EE"/>
                <w:w w:val="95"/>
              </w:rPr>
            </w:pPr>
            <w:hyperlink w:anchor="page56">
              <w:r>
                <w:rPr>
                  <w:rFonts w:ascii="Arial" w:cs="Arial" w:eastAsia="Arial" w:hAnsi="Arial"/>
                  <w:sz w:val="18"/>
                  <w:szCs w:val="18"/>
                  <w:u w:val="single" w:color="auto"/>
                  <w:color w:val="0000EE"/>
                  <w:w w:val="95"/>
                </w:rPr>
                <w:t>Section 302 of the Sarbanes-Oxley Act of 2002</w:t>
              </w:r>
            </w:hyperlink>
          </w:p>
        </w:tc>
        <w:tc>
          <w:tcPr>
            <w:tcW w:w="2400" w:type="dxa"/>
            <w:vAlign w:val="bottom"/>
            <w:gridSpan w:val="4"/>
          </w:tcPr>
          <w:p>
            <w:pPr>
              <w:spacing w:after="0"/>
              <w:rPr>
                <w:sz w:val="20"/>
                <w:szCs w:val="20"/>
                <w:color w:val="auto"/>
              </w:rPr>
            </w:pPr>
          </w:p>
        </w:tc>
        <w:tc>
          <w:tcPr>
            <w:tcW w:w="2460" w:type="dxa"/>
            <w:vAlign w:val="bottom"/>
          </w:tcPr>
          <w:p>
            <w:pPr>
              <w:spacing w:after="0"/>
              <w:rPr>
                <w:sz w:val="20"/>
                <w:szCs w:val="20"/>
                <w:color w:val="auto"/>
              </w:rPr>
            </w:pPr>
          </w:p>
        </w:tc>
      </w:tr>
      <w:tr>
        <w:trPr>
          <w:trHeight w:val="243"/>
        </w:trPr>
        <w:tc>
          <w:tcPr>
            <w:tcW w:w="1500" w:type="dxa"/>
            <w:vAlign w:val="bottom"/>
            <w:gridSpan w:val="2"/>
          </w:tcPr>
          <w:p>
            <w:pPr>
              <w:jc w:val="right"/>
              <w:ind w:right="3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31.2</w:t>
              </w:r>
            </w:hyperlink>
          </w:p>
        </w:tc>
        <w:tc>
          <w:tcPr>
            <w:tcW w:w="39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Principal Financial Officer pursuant to</w:t>
              </w:r>
            </w:hyperlink>
          </w:p>
        </w:tc>
        <w:tc>
          <w:tcPr>
            <w:tcW w:w="2080" w:type="dxa"/>
            <w:vAlign w:val="bottom"/>
            <w:gridSpan w:val="2"/>
          </w:tcPr>
          <w:p>
            <w:pPr>
              <w:spacing w:after="0"/>
              <w:rPr>
                <w:sz w:val="21"/>
                <w:szCs w:val="21"/>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Rule 13a-14(a)/15d-14(a), as adopted pursuant to</w:t>
              </w:r>
            </w:hyperlink>
          </w:p>
        </w:tc>
        <w:tc>
          <w:tcPr>
            <w:tcW w:w="2460" w:type="dxa"/>
            <w:vAlign w:val="bottom"/>
            <w:gridSpan w:val="5"/>
          </w:tcPr>
          <w:p>
            <w:pPr>
              <w:spacing w:after="0"/>
              <w:rPr>
                <w:sz w:val="17"/>
                <w:szCs w:val="17"/>
                <w:color w:val="auto"/>
              </w:rPr>
            </w:pPr>
          </w:p>
        </w:tc>
        <w:tc>
          <w:tcPr>
            <w:tcW w:w="246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302 of the Sarbanes-Oxley Act of 2002</w:t>
              </w:r>
            </w:hyperlink>
          </w:p>
        </w:tc>
        <w:tc>
          <w:tcPr>
            <w:tcW w:w="2460" w:type="dxa"/>
            <w:vAlign w:val="bottom"/>
          </w:tcPr>
          <w:p>
            <w:pPr>
              <w:spacing w:after="0"/>
              <w:rPr>
                <w:sz w:val="20"/>
                <w:szCs w:val="20"/>
                <w:color w:val="auto"/>
              </w:rPr>
            </w:pPr>
          </w:p>
        </w:tc>
      </w:tr>
      <w:tr>
        <w:trPr>
          <w:trHeight w:val="243"/>
        </w:trPr>
        <w:tc>
          <w:tcPr>
            <w:tcW w:w="1500" w:type="dxa"/>
            <w:vAlign w:val="bottom"/>
            <w:gridSpan w:val="2"/>
          </w:tcPr>
          <w:p>
            <w:pPr>
              <w:jc w:val="right"/>
              <w:ind w:right="3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32.1*</w:t>
              </w:r>
            </w:hyperlink>
          </w:p>
        </w:tc>
        <w:tc>
          <w:tcPr>
            <w:tcW w:w="60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Certification of Principal Executive Officer pursuant to</w:t>
              </w:r>
            </w:hyperlink>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18 U.S.C. § 1350 (Section 906 of the Sarbanes-Oxley</w:t>
              </w:r>
            </w:hyperlink>
          </w:p>
        </w:tc>
        <w:tc>
          <w:tcPr>
            <w:tcW w:w="100" w:type="dxa"/>
            <w:vAlign w:val="bottom"/>
            <w:tcBorders>
              <w:top w:val="single" w:sz="8" w:color="0000EE"/>
            </w:tcBorders>
            <w:gridSpan w:val="2"/>
          </w:tcPr>
          <w:p>
            <w:pPr>
              <w:spacing w:after="0"/>
              <w:rPr>
                <w:sz w:val="17"/>
                <w:szCs w:val="17"/>
                <w:color w:val="auto"/>
              </w:rPr>
            </w:pP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Act of 2002)</w:t>
              </w:r>
            </w:hyperlink>
          </w:p>
        </w:tc>
        <w:tc>
          <w:tcPr>
            <w:tcW w:w="5080" w:type="dxa"/>
            <w:vAlign w:val="bottom"/>
            <w:gridSpan w:val="6"/>
          </w:tcPr>
          <w:p>
            <w:pPr>
              <w:spacing w:after="0"/>
              <w:rPr>
                <w:sz w:val="17"/>
                <w:szCs w:val="17"/>
                <w:color w:val="auto"/>
              </w:rPr>
            </w:pPr>
          </w:p>
        </w:tc>
        <w:tc>
          <w:tcPr>
            <w:tcW w:w="2460" w:type="dxa"/>
            <w:vAlign w:val="bottom"/>
          </w:tcPr>
          <w:p>
            <w:pPr>
              <w:spacing w:after="0"/>
              <w:rPr>
                <w:sz w:val="17"/>
                <w:szCs w:val="17"/>
                <w:color w:val="auto"/>
              </w:rPr>
            </w:pPr>
          </w:p>
        </w:tc>
      </w:tr>
      <w:tr>
        <w:trPr>
          <w:trHeight w:val="263"/>
        </w:trPr>
        <w:tc>
          <w:tcPr>
            <w:tcW w:w="1500" w:type="dxa"/>
            <w:vAlign w:val="bottom"/>
            <w:gridSpan w:val="2"/>
          </w:tcPr>
          <w:p>
            <w:pPr>
              <w:jc w:val="right"/>
              <w:ind w:right="3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32.2*</w:t>
              </w:r>
            </w:hyperlink>
          </w:p>
        </w:tc>
        <w:tc>
          <w:tcPr>
            <w:tcW w:w="39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Certification of Principal Financial Officer pursuant to</w:t>
              </w:r>
            </w:hyperlink>
          </w:p>
        </w:tc>
        <w:tc>
          <w:tcPr>
            <w:tcW w:w="2080" w:type="dxa"/>
            <w:vAlign w:val="bottom"/>
            <w:gridSpan w:val="2"/>
          </w:tcPr>
          <w:p>
            <w:pPr>
              <w:spacing w:after="0"/>
              <w:rPr>
                <w:sz w:val="22"/>
                <w:szCs w:val="22"/>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18 U.S.C. § 1350 (Section 906 of the Sarbanes-Oxley</w:t>
              </w:r>
            </w:hyperlink>
          </w:p>
        </w:tc>
        <w:tc>
          <w:tcPr>
            <w:tcW w:w="214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Act of 2002)</w:t>
              </w:r>
            </w:hyperlink>
          </w:p>
        </w:tc>
        <w:tc>
          <w:tcPr>
            <w:tcW w:w="5080" w:type="dxa"/>
            <w:vAlign w:val="bottom"/>
            <w:gridSpan w:val="6"/>
          </w:tcPr>
          <w:p>
            <w:pPr>
              <w:spacing w:after="0"/>
              <w:rPr>
                <w:sz w:val="17"/>
                <w:szCs w:val="17"/>
                <w:color w:val="auto"/>
              </w:rPr>
            </w:pPr>
          </w:p>
        </w:tc>
        <w:tc>
          <w:tcPr>
            <w:tcW w:w="2460" w:type="dxa"/>
            <w:vAlign w:val="bottom"/>
          </w:tcPr>
          <w:p>
            <w:pPr>
              <w:spacing w:after="0"/>
              <w:rPr>
                <w:sz w:val="17"/>
                <w:szCs w:val="17"/>
                <w:color w:val="auto"/>
              </w:rPr>
            </w:pPr>
          </w:p>
        </w:tc>
      </w:tr>
      <w:tr>
        <w:trPr>
          <w:trHeight w:val="290"/>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101.INS</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24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because its XBRL tags are embedded within the Inline</w:t>
            </w:r>
          </w:p>
        </w:tc>
        <w:tc>
          <w:tcPr>
            <w:tcW w:w="24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XBRL</w:t>
            </w:r>
          </w:p>
        </w:tc>
        <w:tc>
          <w:tcPr>
            <w:tcW w:w="2460" w:type="dxa"/>
            <w:vAlign w:val="bottom"/>
          </w:tcPr>
          <w:p>
            <w:pPr>
              <w:spacing w:after="0"/>
              <w:rPr>
                <w:sz w:val="20"/>
                <w:szCs w:val="20"/>
                <w:color w:val="auto"/>
              </w:rPr>
            </w:pPr>
          </w:p>
        </w:tc>
      </w:tr>
      <w:tr>
        <w:trPr>
          <w:trHeight w:val="283"/>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101.SCH</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69"/>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101.CAL</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Linkbase</w:t>
            </w:r>
          </w:p>
        </w:tc>
        <w:tc>
          <w:tcPr>
            <w:tcW w:w="2460" w:type="dxa"/>
            <w:vAlign w:val="bottom"/>
          </w:tcPr>
          <w:p>
            <w:pPr>
              <w:spacing w:after="0"/>
              <w:rPr>
                <w:sz w:val="20"/>
                <w:szCs w:val="20"/>
                <w:color w:val="auto"/>
              </w:rPr>
            </w:pPr>
          </w:p>
        </w:tc>
      </w:tr>
      <w:tr>
        <w:trPr>
          <w:trHeight w:val="269"/>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101.DEF</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Linkbase</w:t>
            </w:r>
          </w:p>
        </w:tc>
        <w:tc>
          <w:tcPr>
            <w:tcW w:w="2460" w:type="dxa"/>
            <w:vAlign w:val="bottom"/>
          </w:tcPr>
          <w:p>
            <w:pPr>
              <w:spacing w:after="0"/>
              <w:rPr>
                <w:sz w:val="20"/>
                <w:szCs w:val="20"/>
                <w:color w:val="auto"/>
              </w:rPr>
            </w:pPr>
          </w:p>
        </w:tc>
      </w:tr>
      <w:tr>
        <w:trPr>
          <w:trHeight w:val="284"/>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101.LAB</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69"/>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101.PRE</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Linkbase</w:t>
            </w:r>
          </w:p>
        </w:tc>
        <w:tc>
          <w:tcPr>
            <w:tcW w:w="2460" w:type="dxa"/>
            <w:vAlign w:val="bottom"/>
          </w:tcPr>
          <w:p>
            <w:pPr>
              <w:spacing w:after="0"/>
              <w:rPr>
                <w:sz w:val="20"/>
                <w:szCs w:val="20"/>
                <w:color w:val="auto"/>
              </w:rPr>
            </w:pPr>
          </w:p>
        </w:tc>
      </w:tr>
      <w:tr>
        <w:trPr>
          <w:trHeight w:val="269"/>
        </w:trPr>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60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2460" w:type="dxa"/>
            <w:vAlign w:val="bottom"/>
          </w:tcPr>
          <w:p>
            <w:pPr>
              <w:ind w:left="2020"/>
              <w:spacing w:after="0"/>
              <w:rPr>
                <w:sz w:val="20"/>
                <w:szCs w:val="20"/>
                <w:color w:val="auto"/>
              </w:rPr>
            </w:pPr>
            <w:r>
              <w:rPr>
                <w:rFonts w:ascii="Arial" w:cs="Arial" w:eastAsia="Arial" w:hAnsi="Arial"/>
                <w:sz w:val="18"/>
                <w:szCs w:val="18"/>
                <w:color w:val="auto"/>
              </w:rPr>
              <w:t>X</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and contained in Exhibit 101)</w:t>
            </w:r>
          </w:p>
        </w:tc>
        <w:tc>
          <w:tcPr>
            <w:tcW w:w="2460" w:type="dxa"/>
            <w:vAlign w:val="bottom"/>
          </w:tcPr>
          <w:p>
            <w:pPr>
              <w:spacing w:after="0"/>
              <w:rPr>
                <w:sz w:val="20"/>
                <w:szCs w:val="20"/>
                <w:color w:val="auto"/>
              </w:rPr>
            </w:pPr>
          </w:p>
        </w:tc>
      </w:tr>
      <w:tr>
        <w:trPr>
          <w:trHeight w:val="284"/>
        </w:trPr>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77"/>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4"/>
                <w:szCs w:val="24"/>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Indicates compensatory plan or arrangement.</w:t>
            </w:r>
          </w:p>
        </w:tc>
        <w:tc>
          <w:tcPr>
            <w:tcW w:w="2460" w:type="dxa"/>
            <w:vAlign w:val="bottom"/>
          </w:tcPr>
          <w:p>
            <w:pPr>
              <w:spacing w:after="0"/>
              <w:rPr>
                <w:sz w:val="24"/>
                <w:szCs w:val="24"/>
                <w:color w:val="auto"/>
              </w:rPr>
            </w:pPr>
          </w:p>
        </w:tc>
      </w:tr>
      <w:tr>
        <w:trPr>
          <w:trHeight w:val="269"/>
        </w:trPr>
        <w:tc>
          <w:tcPr>
            <w:tcW w:w="116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w w:val="99"/>
              </w:rPr>
              <w:t>In accordance with Item 601(b)(32)(ii) of Regulation S-K and SEC Release No. 34-47986, the certifications</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w w:val="92"/>
              </w:rPr>
              <w:t>furnished in Exhibits 32.1 and 32.2 hereto are deemed to accompany this Form 10-Q and will not be deemed “filed”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w w:val="92"/>
              </w:rPr>
              <w:t>for purposes of Section 18 of the Exchange Act or deemed to be incorporated by reference into any filing under the</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w w:val="93"/>
              </w:rPr>
              <w:t>Exchange Act or the Securities Act except to the extent that the registrant specifically incorporates it by reference.</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740" w:type="dxa"/>
            <w:vAlign w:val="bottom"/>
          </w:tcPr>
          <w:p>
            <w:pPr>
              <w:jc w:val="right"/>
              <w:ind w:right="31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HO</w:t>
            </w:r>
          </w:p>
        </w:tc>
      </w:tr>
      <w:tr>
        <w:trPr>
          <w:trHeight w:val="195"/>
        </w:trPr>
        <w:tc>
          <w:tcPr>
            <w:tcW w:w="7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Mark Ho</w:t>
            </w:r>
          </w:p>
        </w:tc>
      </w:tr>
      <w:tr>
        <w:trPr>
          <w:trHeight w:val="230"/>
        </w:trPr>
        <w:tc>
          <w:tcPr>
            <w:tcW w:w="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432"/>
        </w:trPr>
        <w:tc>
          <w:tcPr>
            <w:tcW w:w="740" w:type="dxa"/>
            <w:vAlign w:val="bottom"/>
          </w:tcPr>
          <w:p>
            <w:pPr>
              <w:jc w:val="right"/>
              <w:ind w:right="470"/>
              <w:spacing w:after="0"/>
              <w:rPr>
                <w:sz w:val="20"/>
                <w:szCs w:val="20"/>
                <w:color w:val="auto"/>
              </w:rPr>
            </w:pPr>
            <w:r>
              <w:rPr>
                <w:rFonts w:ascii="Arial" w:cs="Arial" w:eastAsia="Arial" w:hAnsi="Arial"/>
                <w:sz w:val="18"/>
                <w:szCs w:val="18"/>
                <w:color w:val="auto"/>
                <w:w w:val="79"/>
              </w:rPr>
              <w:t>64</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2" w:name="page53"/>
    <w:bookmarkEnd w:id="52"/>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ERACYTE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tc>
        <w:tc>
          <w:tcPr>
            <w:tcW w:w="640" w:type="dxa"/>
            <w:vAlign w:val="bottom"/>
          </w:tcPr>
          <w:p>
            <w:pPr>
              <w:spacing w:after="0"/>
              <w:rPr>
                <w:sz w:val="20"/>
                <w:szCs w:val="20"/>
                <w:color w:val="auto"/>
              </w:rPr>
            </w:pPr>
          </w:p>
        </w:tc>
        <w:tc>
          <w:tcPr>
            <w:tcW w:w="2500" w:type="dxa"/>
            <w:vAlign w:val="bottom"/>
          </w:tcPr>
          <w:p>
            <w:pPr>
              <w:ind w:left="1240"/>
              <w:spacing w:after="0"/>
              <w:rPr>
                <w:sz w:val="20"/>
                <w:szCs w:val="20"/>
                <w:color w:val="auto"/>
              </w:rPr>
            </w:pPr>
            <w:r>
              <w:rPr>
                <w:rFonts w:ascii="Arial" w:cs="Arial" w:eastAsia="Arial" w:hAnsi="Arial"/>
                <w:sz w:val="18"/>
                <w:szCs w:val="18"/>
                <w:b w:val="1"/>
                <w:bCs w:val="1"/>
                <w:color w:val="auto"/>
              </w:rPr>
              <w:t>EXHIBIT 10.2</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E</w:t>
            </w:r>
            <w:r>
              <w:rPr>
                <w:rFonts w:ascii="Arial" w:cs="Arial" w:eastAsia="Arial" w:hAnsi="Arial"/>
                <w:sz w:val="12"/>
                <w:szCs w:val="12"/>
                <w:b w:val="1"/>
                <w:bCs w:val="1"/>
                <w:color w:val="auto"/>
                <w:w w:val="98"/>
              </w:rPr>
              <w:t>MPLOYEE</w:t>
            </w:r>
            <w:r>
              <w:rPr>
                <w:rFonts w:ascii="Arial" w:cs="Arial" w:eastAsia="Arial" w:hAnsi="Arial"/>
                <w:sz w:val="18"/>
                <w:szCs w:val="18"/>
                <w:b w:val="1"/>
                <w:bCs w:val="1"/>
                <w:color w:val="auto"/>
                <w:w w:val="98"/>
              </w:rPr>
              <w:t xml:space="preserve"> S</w:t>
            </w:r>
            <w:r>
              <w:rPr>
                <w:rFonts w:ascii="Arial" w:cs="Arial" w:eastAsia="Arial" w:hAnsi="Arial"/>
                <w:sz w:val="12"/>
                <w:szCs w:val="12"/>
                <w:b w:val="1"/>
                <w:bCs w:val="1"/>
                <w:color w:val="auto"/>
                <w:w w:val="98"/>
              </w:rPr>
              <w:t>TOCK</w:t>
            </w:r>
            <w:r>
              <w:rPr>
                <w:rFonts w:ascii="Arial" w:cs="Arial" w:eastAsia="Arial" w:hAnsi="Arial"/>
                <w:sz w:val="18"/>
                <w:szCs w:val="18"/>
                <w:b w:val="1"/>
                <w:bCs w:val="1"/>
                <w:color w:val="auto"/>
                <w:w w:val="98"/>
              </w:rPr>
              <w:t xml:space="preserve"> P</w:t>
            </w:r>
            <w:r>
              <w:rPr>
                <w:rFonts w:ascii="Arial" w:cs="Arial" w:eastAsia="Arial" w:hAnsi="Arial"/>
                <w:sz w:val="12"/>
                <w:szCs w:val="12"/>
                <w:b w:val="1"/>
                <w:bCs w:val="1"/>
                <w:color w:val="auto"/>
                <w:w w:val="98"/>
              </w:rPr>
              <w:t>URCHASE</w:t>
            </w:r>
            <w:r>
              <w:rPr>
                <w:rFonts w:ascii="Arial" w:cs="Arial" w:eastAsia="Arial" w:hAnsi="Arial"/>
                <w:sz w:val="18"/>
                <w:szCs w:val="18"/>
                <w:b w:val="1"/>
                <w:bCs w:val="1"/>
                <w:color w:val="auto"/>
                <w:w w:val="98"/>
              </w:rPr>
              <w:t xml:space="preserve"> P</w:t>
            </w:r>
            <w:r>
              <w:rPr>
                <w:rFonts w:ascii="Arial" w:cs="Arial" w:eastAsia="Arial" w:hAnsi="Arial"/>
                <w:sz w:val="12"/>
                <w:szCs w:val="12"/>
                <w:b w:val="1"/>
                <w:bCs w:val="1"/>
                <w:color w:val="auto"/>
                <w:w w:val="98"/>
              </w:rPr>
              <w:t>LAN</w:t>
            </w:r>
            <w:r>
              <w:rPr>
                <w:rFonts w:ascii="Arial" w:cs="Arial" w:eastAsia="Arial" w:hAnsi="Arial"/>
                <w:sz w:val="18"/>
                <w:szCs w:val="18"/>
                <w:b w:val="1"/>
                <w:bCs w:val="1"/>
                <w:color w:val="auto"/>
                <w:w w:val="98"/>
              </w:rPr>
              <w:t xml:space="preserve"> (“ESPP”)</w:t>
            </w: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NROLLMENT</w:t>
            </w:r>
            <w:r>
              <w:rPr>
                <w:rFonts w:ascii="Arial" w:cs="Arial" w:eastAsia="Arial" w:hAnsi="Arial"/>
                <w:sz w:val="18"/>
                <w:szCs w:val="18"/>
                <w:b w:val="1"/>
                <w:bCs w:val="1"/>
                <w:color w:val="auto"/>
              </w:rPr>
              <w:t>/C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3"/>
          </w:tcPr>
          <w:p>
            <w:pPr>
              <w:ind w:left="20"/>
              <w:spacing w:after="0" w:line="199"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3"/>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ESIRED</w:t>
            </w:r>
            <w:r>
              <w:rPr>
                <w:rFonts w:ascii="Arial" w:cs="Arial" w:eastAsia="Arial" w:hAnsi="Arial"/>
                <w:sz w:val="18"/>
                <w:szCs w:val="18"/>
                <w:color w:val="auto"/>
              </w:rPr>
              <w:t xml:space="preserve"> A</w:t>
            </w:r>
            <w:r>
              <w:rPr>
                <w:rFonts w:ascii="Arial" w:cs="Arial" w:eastAsia="Arial" w:hAnsi="Arial"/>
                <w:sz w:val="12"/>
                <w:szCs w:val="12"/>
                <w:color w:val="auto"/>
              </w:rPr>
              <w:t>CTION</w:t>
            </w:r>
          </w:p>
        </w:tc>
        <w:tc>
          <w:tcPr>
            <w:tcW w:w="9420" w:type="dxa"/>
            <w:vAlign w:val="bottom"/>
            <w:gridSpan w:val="6"/>
          </w:tcPr>
          <w:p>
            <w:pPr>
              <w:ind w:left="460"/>
              <w:spacing w:after="0"/>
              <w:rPr>
                <w:sz w:val="20"/>
                <w:szCs w:val="20"/>
                <w:color w:val="auto"/>
              </w:rPr>
            </w:pPr>
            <w:r>
              <w:rPr>
                <w:rFonts w:ascii="Arial" w:cs="Arial" w:eastAsia="Arial" w:hAnsi="Arial"/>
                <w:sz w:val="18"/>
                <w:szCs w:val="18"/>
                <w:i w:val="1"/>
                <w:iCs w:val="1"/>
                <w:color w:val="auto"/>
                <w:w w:val="94"/>
              </w:rPr>
              <w:t>To accomplish the Desired Action selected in Section 1 below, please also complete the sections of this form identified</w:t>
            </w:r>
          </w:p>
        </w:tc>
        <w:tc>
          <w:tcPr>
            <w:tcW w:w="0" w:type="dxa"/>
            <w:vAlign w:val="bottom"/>
          </w:tcPr>
          <w:p>
            <w:pPr>
              <w:spacing w:after="0"/>
              <w:rPr>
                <w:sz w:val="1"/>
                <w:szCs w:val="1"/>
                <w:color w:val="auto"/>
              </w:rPr>
            </w:pPr>
          </w:p>
        </w:tc>
      </w:tr>
      <w:tr>
        <w:trPr>
          <w:trHeight w:val="190"/>
        </w:trPr>
        <w:tc>
          <w:tcPr>
            <w:tcW w:w="18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HECK</w:t>
            </w:r>
            <w:r>
              <w:rPr>
                <w:rFonts w:ascii="Arial" w:cs="Arial" w:eastAsia="Arial" w:hAnsi="Arial"/>
                <w:sz w:val="18"/>
                <w:szCs w:val="18"/>
                <w:color w:val="auto"/>
              </w:rPr>
              <w:t xml:space="preserve"> O</w:t>
            </w:r>
            <w:r>
              <w:rPr>
                <w:rFonts w:ascii="Arial" w:cs="Arial" w:eastAsia="Arial" w:hAnsi="Arial"/>
                <w:sz w:val="12"/>
                <w:szCs w:val="12"/>
                <w:color w:val="auto"/>
              </w:rPr>
              <w:t>NLY</w:t>
            </w:r>
            <w:r>
              <w:rPr>
                <w:rFonts w:ascii="Arial" w:cs="Arial" w:eastAsia="Arial" w:hAnsi="Arial"/>
                <w:sz w:val="18"/>
                <w:szCs w:val="18"/>
                <w:color w:val="auto"/>
              </w:rPr>
              <w:t xml:space="preserve"> O</w:t>
            </w:r>
            <w:r>
              <w:rPr>
                <w:rFonts w:ascii="Arial" w:cs="Arial" w:eastAsia="Arial" w:hAnsi="Arial"/>
                <w:sz w:val="12"/>
                <w:szCs w:val="12"/>
                <w:color w:val="auto"/>
              </w:rPr>
              <w:t>NE</w:t>
            </w:r>
            <w:r>
              <w:rPr>
                <w:rFonts w:ascii="Arial" w:cs="Arial" w:eastAsia="Arial" w:hAnsi="Arial"/>
                <w:sz w:val="18"/>
                <w:szCs w:val="18"/>
                <w:color w:val="auto"/>
              </w:rPr>
              <w:t>)</w:t>
            </w:r>
          </w:p>
        </w:tc>
        <w:tc>
          <w:tcPr>
            <w:tcW w:w="9420" w:type="dxa"/>
            <w:vAlign w:val="bottom"/>
            <w:gridSpan w:val="6"/>
          </w:tcPr>
          <w:p>
            <w:pPr>
              <w:ind w:left="460"/>
              <w:spacing w:after="0" w:line="190" w:lineRule="exact"/>
              <w:rPr>
                <w:sz w:val="20"/>
                <w:szCs w:val="20"/>
                <w:color w:val="auto"/>
              </w:rPr>
            </w:pPr>
            <w:r>
              <w:rPr>
                <w:rFonts w:ascii="Arial" w:cs="Arial" w:eastAsia="Arial" w:hAnsi="Arial"/>
                <w:sz w:val="18"/>
                <w:szCs w:val="18"/>
                <w:i w:val="1"/>
                <w:iCs w:val="1"/>
                <w:color w:val="auto"/>
              </w:rPr>
              <w:t>immediately to the right of that Desired Action. In all cases you must also sign and date Section 12 of this form.</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2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rPr>
              <w:t>Enroll in the ESPP effective as of beginning of next Offering Period</w:t>
            </w: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Complete sections 2, 3 and 4</w:t>
            </w:r>
          </w:p>
        </w:tc>
        <w:tc>
          <w:tcPr>
            <w:tcW w:w="0" w:type="dxa"/>
            <w:vAlign w:val="bottom"/>
          </w:tcPr>
          <w:p>
            <w:pPr>
              <w:spacing w:after="0"/>
              <w:rPr>
                <w:sz w:val="1"/>
                <w:szCs w:val="1"/>
                <w:color w:val="auto"/>
              </w:rPr>
            </w:pPr>
          </w:p>
        </w:tc>
      </w:tr>
      <w:tr>
        <w:trPr>
          <w:trHeight w:val="195"/>
        </w:trPr>
        <w:tc>
          <w:tcPr>
            <w:tcW w:w="1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280" w:type="dxa"/>
            <w:vAlign w:val="bottom"/>
            <w:gridSpan w:val="4"/>
          </w:tcPr>
          <w:p>
            <w:pPr>
              <w:ind w:left="460"/>
              <w:spacing w:after="0" w:line="195" w:lineRule="exact"/>
              <w:rPr>
                <w:sz w:val="20"/>
                <w:szCs w:val="20"/>
                <w:color w:val="auto"/>
              </w:rPr>
            </w:pPr>
            <w:r>
              <w:rPr>
                <w:rFonts w:ascii="Arial" w:cs="Arial" w:eastAsia="Arial" w:hAnsi="Arial"/>
                <w:sz w:val="18"/>
                <w:szCs w:val="18"/>
                <w:color w:val="auto"/>
                <w:w w:val="99"/>
              </w:rPr>
              <w:t>Change contribution percentage effective as of beginning of next Offering</w:t>
            </w:r>
          </w:p>
        </w:tc>
        <w:tc>
          <w:tcPr>
            <w:tcW w:w="3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Complete sections 2 and 4</w:t>
            </w: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Period</w:t>
            </w:r>
          </w:p>
        </w:tc>
        <w:tc>
          <w:tcPr>
            <w:tcW w:w="2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280" w:type="dxa"/>
            <w:vAlign w:val="bottom"/>
            <w:gridSpan w:val="4"/>
          </w:tcPr>
          <w:p>
            <w:pPr>
              <w:ind w:left="460"/>
              <w:spacing w:after="0" w:line="195" w:lineRule="exact"/>
              <w:rPr>
                <w:sz w:val="20"/>
                <w:szCs w:val="20"/>
                <w:color w:val="auto"/>
              </w:rPr>
            </w:pPr>
            <w:r>
              <w:rPr>
                <w:rFonts w:ascii="Arial" w:cs="Arial" w:eastAsia="Arial" w:hAnsi="Arial"/>
                <w:sz w:val="18"/>
                <w:szCs w:val="18"/>
                <w:color w:val="auto"/>
                <w:w w:val="92"/>
              </w:rPr>
              <w:t>Decrease contributions during Purchase Period; effective as of seven business</w:t>
            </w:r>
          </w:p>
        </w:tc>
        <w:tc>
          <w:tcPr>
            <w:tcW w:w="3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Complete Sections 2 and 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rPr>
              <w:t>days after receipt by the Company.</w:t>
            </w: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w w:val="98"/>
              </w:rPr>
              <w:t>Note: If you decrease your percentage to 0%, any previously accumulated</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w w:val="88"/>
              </w:rPr>
              <w:t>contributions will be used to purchase shares on the next Purchase Date pursuant</w:t>
            </w: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w w:val="93"/>
              </w:rPr>
              <w:t>to Section 5(c) of the ESPP and you will then be withdrawn from the ESPP for</w:t>
            </w: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rPr>
              <w:t>the subsequent Offering Period.</w:t>
            </w: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280" w:type="dxa"/>
            <w:vAlign w:val="bottom"/>
            <w:gridSpan w:val="4"/>
          </w:tcPr>
          <w:p>
            <w:pPr>
              <w:ind w:left="460"/>
              <w:spacing w:after="0" w:line="195" w:lineRule="exact"/>
              <w:rPr>
                <w:sz w:val="20"/>
                <w:szCs w:val="20"/>
                <w:color w:val="auto"/>
              </w:rPr>
            </w:pPr>
            <w:r>
              <w:rPr>
                <w:rFonts w:ascii="Arial" w:cs="Arial" w:eastAsia="Arial" w:hAnsi="Arial"/>
                <w:sz w:val="18"/>
                <w:szCs w:val="18"/>
                <w:color w:val="auto"/>
                <w:w w:val="93"/>
              </w:rPr>
              <w:t>Withdraw from ESPP and refund contributions; effective as of seven business</w:t>
            </w:r>
          </w:p>
        </w:tc>
        <w:tc>
          <w:tcPr>
            <w:tcW w:w="3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Complete Sections 2 and 6</w:t>
            </w: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rPr>
              <w:t>days after receipt by the Company</w:t>
            </w: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gridSpan w:val="3"/>
          </w:tcPr>
          <w:p>
            <w:pPr>
              <w:ind w:left="20"/>
              <w:spacing w:after="0" w:line="19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w:t>
            </w:r>
          </w:p>
        </w:tc>
        <w:tc>
          <w:tcPr>
            <w:tcW w:w="6280" w:type="dxa"/>
            <w:vAlign w:val="bottom"/>
            <w:gridSpan w:val="4"/>
          </w:tcPr>
          <w:p>
            <w:pPr>
              <w:ind w:left="460"/>
              <w:spacing w:after="0" w:line="191" w:lineRule="exact"/>
              <w:rPr>
                <w:sz w:val="20"/>
                <w:szCs w:val="20"/>
                <w:color w:val="auto"/>
              </w:rPr>
            </w:pPr>
            <w:r>
              <w:rPr>
                <w:rFonts w:ascii="Arial" w:cs="Arial" w:eastAsia="Arial" w:hAnsi="Arial"/>
                <w:sz w:val="18"/>
                <w:szCs w:val="18"/>
                <w:color w:val="auto"/>
              </w:rPr>
              <w:t>Name: ______________________________________</w:t>
            </w:r>
          </w:p>
        </w:tc>
        <w:tc>
          <w:tcPr>
            <w:tcW w:w="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ERSONAL</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ATA</w:t>
            </w:r>
          </w:p>
        </w:tc>
        <w:tc>
          <w:tcPr>
            <w:tcW w:w="6280" w:type="dxa"/>
            <w:vAlign w:val="bottom"/>
            <w:gridSpan w:val="4"/>
          </w:tcPr>
          <w:p>
            <w:pPr>
              <w:ind w:left="460"/>
              <w:spacing w:after="0" w:line="194" w:lineRule="exact"/>
              <w:rPr>
                <w:sz w:val="20"/>
                <w:szCs w:val="20"/>
                <w:color w:val="auto"/>
              </w:rPr>
            </w:pPr>
            <w:r>
              <w:rPr>
                <w:rFonts w:ascii="Arial" w:cs="Arial" w:eastAsia="Arial" w:hAnsi="Arial"/>
                <w:sz w:val="18"/>
                <w:szCs w:val="18"/>
                <w:color w:val="auto"/>
              </w:rPr>
              <w:t>Title: _______________________________________</w:t>
            </w:r>
          </w:p>
        </w:tc>
        <w:tc>
          <w:tcPr>
            <w:tcW w:w="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rPr>
              <w:t>Department:  _________________________________</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w w:val="91"/>
              </w:rPr>
              <w:t>Home Address:</w:t>
            </w:r>
          </w:p>
        </w:tc>
        <w:tc>
          <w:tcPr>
            <w:tcW w:w="4660" w:type="dxa"/>
            <w:vAlign w:val="bottom"/>
            <w:gridSpan w:val="2"/>
          </w:tcPr>
          <w:p>
            <w:pPr>
              <w:jc w:val="right"/>
              <w:ind w:right="1800"/>
              <w:spacing w:after="0"/>
              <w:rPr>
                <w:sz w:val="20"/>
                <w:szCs w:val="20"/>
                <w:color w:val="auto"/>
              </w:rPr>
            </w:pPr>
            <w:r>
              <w:rPr>
                <w:rFonts w:ascii="Arial" w:cs="Arial" w:eastAsia="Arial" w:hAnsi="Arial"/>
                <w:sz w:val="18"/>
                <w:szCs w:val="18"/>
                <w:color w:val="auto"/>
                <w:w w:val="94"/>
              </w:rPr>
              <w:t>______________________________</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60" w:type="dxa"/>
            <w:vAlign w:val="bottom"/>
            <w:gridSpan w:val="3"/>
          </w:tcPr>
          <w:p>
            <w:pPr>
              <w:ind w:left="460"/>
              <w:spacing w:after="0"/>
              <w:rPr>
                <w:sz w:val="20"/>
                <w:szCs w:val="20"/>
                <w:color w:val="auto"/>
              </w:rPr>
            </w:pPr>
            <w:r>
              <w:rPr>
                <w:rFonts w:ascii="Arial" w:cs="Arial" w:eastAsia="Arial" w:hAnsi="Arial"/>
                <w:sz w:val="18"/>
                <w:szCs w:val="18"/>
                <w:color w:val="auto"/>
                <w:w w:val="90"/>
              </w:rPr>
              <w:t>____________________________________________</w:t>
            </w: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4"/>
          </w:tcPr>
          <w:p>
            <w:pPr>
              <w:ind w:left="460"/>
              <w:spacing w:after="0"/>
              <w:rPr>
                <w:sz w:val="20"/>
                <w:szCs w:val="20"/>
                <w:color w:val="auto"/>
              </w:rPr>
            </w:pPr>
            <w:r>
              <w:rPr>
                <w:rFonts w:ascii="Arial" w:cs="Arial" w:eastAsia="Arial" w:hAnsi="Arial"/>
                <w:sz w:val="18"/>
                <w:szCs w:val="18"/>
                <w:color w:val="auto"/>
              </w:rPr>
              <w:t>Social Security Number:</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4"/>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2"/>
          </w:tcPr>
          <w:p>
            <w:pPr>
              <w:spacing w:after="0"/>
              <w:rPr>
                <w:sz w:val="17"/>
                <w:szCs w:val="17"/>
                <w:color w:val="auto"/>
              </w:rPr>
            </w:pPr>
          </w:p>
        </w:tc>
        <w:tc>
          <w:tcPr>
            <w:tcW w:w="2460" w:type="dxa"/>
            <w:vAlign w:val="bottom"/>
            <w:tcBorders>
              <w:bottom w:val="single" w:sz="8" w:color="auto"/>
            </w:tcBorders>
            <w:gridSpan w:val="2"/>
          </w:tcPr>
          <w:p>
            <w:pPr>
              <w:spacing w:after="0"/>
              <w:rPr>
                <w:sz w:val="17"/>
                <w:szCs w:val="17"/>
                <w:color w:val="auto"/>
              </w:rPr>
            </w:pPr>
          </w:p>
        </w:tc>
        <w:tc>
          <w:tcPr>
            <w:tcW w:w="25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20" w:type="dxa"/>
            <w:vAlign w:val="bottom"/>
            <w:gridSpan w:val="3"/>
          </w:tcPr>
          <w:p>
            <w:pPr>
              <w:ind w:left="20"/>
              <w:spacing w:after="0" w:line="19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w:t>
            </w:r>
          </w:p>
        </w:tc>
        <w:tc>
          <w:tcPr>
            <w:tcW w:w="6920" w:type="dxa"/>
            <w:vAlign w:val="bottom"/>
            <w:gridSpan w:val="5"/>
          </w:tcPr>
          <w:p>
            <w:pPr>
              <w:ind w:left="460"/>
              <w:spacing w:after="0" w:line="191" w:lineRule="exact"/>
              <w:rPr>
                <w:sz w:val="20"/>
                <w:szCs w:val="20"/>
                <w:color w:val="auto"/>
              </w:rPr>
            </w:pPr>
            <w:r>
              <w:rPr>
                <w:rFonts w:ascii="Arial" w:cs="Arial" w:eastAsia="Arial" w:hAnsi="Arial"/>
                <w:sz w:val="18"/>
                <w:szCs w:val="18"/>
                <w:color w:val="auto"/>
                <w:w w:val="90"/>
              </w:rPr>
              <w:t>I hereby elect to participate in the ESPP, effective for the next Offering Period that begins</w:t>
            </w: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NROLL</w:t>
            </w:r>
          </w:p>
        </w:tc>
        <w:tc>
          <w:tcPr>
            <w:tcW w:w="9420" w:type="dxa"/>
            <w:vAlign w:val="bottom"/>
            <w:gridSpan w:val="6"/>
          </w:tcPr>
          <w:p>
            <w:pPr>
              <w:ind w:left="460"/>
              <w:spacing w:after="0"/>
              <w:rPr>
                <w:sz w:val="20"/>
                <w:szCs w:val="20"/>
                <w:color w:val="auto"/>
              </w:rPr>
            </w:pPr>
            <w:r>
              <w:rPr>
                <w:rFonts w:ascii="Arial" w:cs="Arial" w:eastAsia="Arial" w:hAnsi="Arial"/>
                <w:sz w:val="18"/>
                <w:szCs w:val="18"/>
                <w:color w:val="auto"/>
              </w:rPr>
              <w:t>following the Company’s receipt of this form. I elect to purchase shares of common stock</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gridSpan w:val="6"/>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of Veracyte, Inc. (the “</w:t>
            </w:r>
            <w:r>
              <w:rPr>
                <w:rFonts w:ascii="Arial" w:cs="Arial" w:eastAsia="Arial" w:hAnsi="Arial"/>
                <w:sz w:val="18"/>
                <w:szCs w:val="18"/>
                <w:b w:val="1"/>
                <w:bCs w:val="1"/>
                <w:color w:val="auto"/>
              </w:rPr>
              <w:t>Company</w:t>
            </w:r>
            <w:r>
              <w:rPr>
                <w:rFonts w:ascii="Arial" w:cs="Arial" w:eastAsia="Arial" w:hAnsi="Arial"/>
                <w:sz w:val="18"/>
                <w:szCs w:val="18"/>
                <w:color w:val="auto"/>
              </w:rPr>
              <w:t>”), subject to the terms and conditions of the</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20" w:type="dxa"/>
            <w:vAlign w:val="bottom"/>
            <w:gridSpan w:val="6"/>
          </w:tcPr>
          <w:p>
            <w:pPr>
              <w:ind w:left="460"/>
              <w:spacing w:after="0"/>
              <w:rPr>
                <w:sz w:val="20"/>
                <w:szCs w:val="20"/>
                <w:color w:val="auto"/>
              </w:rPr>
            </w:pPr>
            <w:r>
              <w:rPr>
                <w:rFonts w:ascii="Arial" w:cs="Arial" w:eastAsia="Arial" w:hAnsi="Arial"/>
                <w:sz w:val="18"/>
                <w:szCs w:val="18"/>
                <w:color w:val="auto"/>
              </w:rPr>
              <w:t>ESPP and this “</w:t>
            </w:r>
            <w:r>
              <w:rPr>
                <w:rFonts w:ascii="Arial" w:cs="Arial" w:eastAsia="Arial" w:hAnsi="Arial"/>
                <w:sz w:val="18"/>
                <w:szCs w:val="18"/>
                <w:b w:val="1"/>
                <w:bCs w:val="1"/>
                <w:color w:val="auto"/>
              </w:rPr>
              <w:t>Enrollment/Change Form</w:t>
            </w:r>
            <w:r>
              <w:rPr>
                <w:rFonts w:ascii="Arial" w:cs="Arial" w:eastAsia="Arial" w:hAnsi="Arial"/>
                <w:sz w:val="18"/>
                <w:szCs w:val="18"/>
                <w:color w:val="auto"/>
              </w:rPr>
              <w:t>.” I understand that Shares purchased on my</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behalf will be</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held in street name and deposited directly into a brokerage</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account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-4450715</wp:posOffset>
            </wp:positionV>
            <wp:extent cx="12700" cy="9694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700" cy="9694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-4450715</wp:posOffset>
            </wp:positionV>
            <wp:extent cx="12700" cy="9694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700" cy="9694545"/>
                    </a:xfrm>
                    <a:prstGeom prst="rect">
                      <a:avLst/>
                    </a:prstGeom>
                    <a:noFill/>
                  </pic:spPr>
                </pic:pic>
              </a:graphicData>
            </a:graphic>
          </wp:anchor>
        </w:drawing>
      </w:r>
    </w:p>
    <w:p>
      <w:pPr>
        <w:jc w:val="both"/>
        <w:ind w:left="2280" w:right="2500"/>
        <w:spacing w:after="0" w:line="253" w:lineRule="auto"/>
        <w:rPr>
          <w:sz w:val="20"/>
          <w:szCs w:val="20"/>
          <w:color w:val="auto"/>
        </w:rPr>
      </w:pPr>
      <w:r>
        <w:rPr>
          <w:rFonts w:ascii="Arial" w:cs="Arial" w:eastAsia="Arial" w:hAnsi="Arial"/>
          <w:sz w:val="18"/>
          <w:szCs w:val="18"/>
          <w:color w:val="auto"/>
        </w:rPr>
        <w:t>at E*Trade or other brokerage account at the Company’s captive broker. I hereby agree to sign all required forms to establish and maintain this account. I understand that if for any reason I am unable to establish such account, I will be deemed not to have enrolled in the ESPP.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3"/>
              </w:rPr>
              <w:t>I understand that I will be automatically enrolled in a new Offering Period each time my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1"/>
              </w:rPr>
              <w:t>current Offering Period ends as long as I remain eligible under the ESPP, unless I timely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8"/>
              </w:rPr>
              <w:t>withdraw  from  the  ESPP  through  the  Plan’s  online  portal  or  by  filing  a  new</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rPr>
              <w:t>Enrollment/Change Form with the Company.</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3"/>
              </w:rPr>
              <w:t>I understand that I will be restricted from transferring Shares from the E*Trade or other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5"/>
              </w:rPr>
              <w:t>designated account to another brokerage account. I further understand that I have an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3"/>
              </w:rPr>
              <w:t>obligation to notify the Company of any disposition of any Shares purchased under the</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rPr>
              <w:t>ESPP.</w:t>
            </w:r>
          </w:p>
        </w:tc>
        <w:tc>
          <w:tcPr>
            <w:tcW w:w="0" w:type="dxa"/>
            <w:vAlign w:val="bottom"/>
          </w:tcPr>
          <w:p>
            <w:pPr>
              <w:spacing w:after="0"/>
              <w:rPr>
                <w:sz w:val="1"/>
                <w:szCs w:val="1"/>
                <w:color w:val="auto"/>
              </w:rPr>
            </w:pPr>
          </w:p>
        </w:tc>
      </w:tr>
      <w:tr>
        <w:trPr>
          <w:trHeight w:val="216"/>
        </w:trPr>
        <w:tc>
          <w:tcPr>
            <w:tcW w:w="2000" w:type="dxa"/>
            <w:vAlign w:val="bottom"/>
            <w:tcBorders>
              <w:bottom w:val="single" w:sz="8" w:color="auto"/>
            </w:tcBorders>
          </w:tcPr>
          <w:p>
            <w:pPr>
              <w:spacing w:after="0"/>
              <w:rPr>
                <w:sz w:val="18"/>
                <w:szCs w:val="18"/>
                <w:color w:val="auto"/>
              </w:rPr>
            </w:pPr>
          </w:p>
        </w:tc>
        <w:tc>
          <w:tcPr>
            <w:tcW w:w="6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w:t>
            </w:r>
          </w:p>
        </w:tc>
        <w:tc>
          <w:tcPr>
            <w:tcW w:w="6740" w:type="dxa"/>
            <w:vAlign w:val="bottom"/>
          </w:tcPr>
          <w:p>
            <w:pPr>
              <w:ind w:left="280"/>
              <w:spacing w:after="0" w:line="195" w:lineRule="exact"/>
              <w:rPr>
                <w:sz w:val="20"/>
                <w:szCs w:val="20"/>
                <w:color w:val="auto"/>
              </w:rPr>
            </w:pPr>
            <w:r>
              <w:rPr>
                <w:rFonts w:ascii="Arial" w:cs="Arial" w:eastAsia="Arial" w:hAnsi="Arial"/>
                <w:sz w:val="18"/>
                <w:szCs w:val="18"/>
                <w:color w:val="auto"/>
                <w:w w:val="97"/>
              </w:rPr>
              <w:t>I  hereby  authorize  the  Company  to  withhold  (</w:t>
            </w:r>
            <w:r>
              <w:rPr>
                <w:rFonts w:ascii="Arial" w:cs="Arial" w:eastAsia="Arial" w:hAnsi="Arial"/>
                <w:sz w:val="18"/>
                <w:szCs w:val="18"/>
                <w:b w:val="1"/>
                <w:bCs w:val="1"/>
                <w:i w:val="1"/>
                <w:iCs w:val="1"/>
                <w:color w:val="auto"/>
                <w:w w:val="97"/>
              </w:rPr>
              <w:t>insert  number</w:t>
            </w:r>
            <w:r>
              <w:rPr>
                <w:rFonts w:ascii="Arial" w:cs="Arial" w:eastAsia="Arial" w:hAnsi="Arial"/>
                <w:sz w:val="18"/>
                <w:szCs w:val="18"/>
                <w:color w:val="auto"/>
                <w:w w:val="97"/>
              </w:rPr>
              <w:t>)  _____%  of  my</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w:t>
            </w:r>
          </w:p>
        </w:tc>
        <w:tc>
          <w:tcPr>
            <w:tcW w:w="6740" w:type="dxa"/>
            <w:vAlign w:val="bottom"/>
          </w:tcPr>
          <w:p>
            <w:pPr>
              <w:ind w:left="280"/>
              <w:spacing w:after="0"/>
              <w:rPr>
                <w:sz w:val="20"/>
                <w:szCs w:val="20"/>
                <w:color w:val="auto"/>
              </w:rPr>
            </w:pPr>
            <w:r>
              <w:rPr>
                <w:rFonts w:ascii="Arial" w:cs="Arial" w:eastAsia="Arial" w:hAnsi="Arial"/>
                <w:sz w:val="18"/>
                <w:szCs w:val="18"/>
                <w:color w:val="auto"/>
                <w:w w:val="90"/>
              </w:rPr>
              <w:t>compensation (as defined in the ESPP) from each of my paychecks, subject to an annual</w:t>
            </w:r>
          </w:p>
        </w:tc>
        <w:tc>
          <w:tcPr>
            <w:tcW w:w="0" w:type="dxa"/>
            <w:vAlign w:val="bottom"/>
          </w:tcPr>
          <w:p>
            <w:pPr>
              <w:spacing w:after="0"/>
              <w:rPr>
                <w:sz w:val="1"/>
                <w:szCs w:val="1"/>
                <w:color w:val="auto"/>
              </w:rPr>
            </w:pPr>
          </w:p>
        </w:tc>
      </w:tr>
      <w:tr>
        <w:trPr>
          <w:trHeight w:val="212"/>
        </w:trPr>
        <w:tc>
          <w:tcPr>
            <w:tcW w:w="2000" w:type="dxa"/>
            <w:vAlign w:val="bottom"/>
            <w:vMerge w:val="continue"/>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2"/>
              </w:rPr>
              <w:t>statutory cap as described in the ESPP as long as I continue to participate in the ESPP.</w:t>
            </w: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ONTRIBUTION</w:t>
            </w:r>
          </w:p>
        </w:tc>
        <w:tc>
          <w:tcPr>
            <w:tcW w:w="6740" w:type="dxa"/>
            <w:vAlign w:val="bottom"/>
          </w:tcPr>
          <w:p>
            <w:pPr>
              <w:ind w:left="280"/>
              <w:spacing w:after="0"/>
              <w:rPr>
                <w:sz w:val="20"/>
                <w:szCs w:val="20"/>
                <w:color w:val="auto"/>
              </w:rPr>
            </w:pPr>
            <w:r>
              <w:rPr>
                <w:rFonts w:ascii="Arial" w:cs="Arial" w:eastAsia="Arial" w:hAnsi="Arial"/>
                <w:sz w:val="18"/>
                <w:szCs w:val="18"/>
                <w:color w:val="auto"/>
                <w:w w:val="92"/>
              </w:rPr>
              <w:t>That amount will be applied to the purchase of Shares pursuant to the ESPP, subject to</w:t>
            </w: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ERCENTAGE</w:t>
            </w:r>
          </w:p>
        </w:tc>
        <w:tc>
          <w:tcPr>
            <w:tcW w:w="6740" w:type="dxa"/>
            <w:vAlign w:val="bottom"/>
          </w:tcPr>
          <w:p>
            <w:pPr>
              <w:ind w:left="280"/>
              <w:spacing w:after="0"/>
              <w:rPr>
                <w:sz w:val="20"/>
                <w:szCs w:val="20"/>
                <w:color w:val="auto"/>
              </w:rPr>
            </w:pPr>
            <w:r>
              <w:rPr>
                <w:rFonts w:ascii="Arial" w:cs="Arial" w:eastAsia="Arial" w:hAnsi="Arial"/>
                <w:sz w:val="18"/>
                <w:szCs w:val="18"/>
                <w:color w:val="auto"/>
                <w:w w:val="95"/>
              </w:rPr>
              <w:t xml:space="preserve">any limits that the Company sets for the Offering Period. </w:t>
            </w:r>
            <w:r>
              <w:rPr>
                <w:rFonts w:ascii="Arial" w:cs="Arial" w:eastAsia="Arial" w:hAnsi="Arial"/>
                <w:sz w:val="18"/>
                <w:szCs w:val="18"/>
                <w:b w:val="1"/>
                <w:bCs w:val="1"/>
                <w:color w:val="auto"/>
                <w:w w:val="95"/>
              </w:rPr>
              <w:t>The percentage must be a</w:t>
            </w:r>
          </w:p>
        </w:tc>
        <w:tc>
          <w:tcPr>
            <w:tcW w:w="0" w:type="dxa"/>
            <w:vAlign w:val="bottom"/>
          </w:tcPr>
          <w:p>
            <w:pPr>
              <w:spacing w:after="0"/>
              <w:rPr>
                <w:sz w:val="1"/>
                <w:szCs w:val="1"/>
                <w:color w:val="auto"/>
              </w:rPr>
            </w:pPr>
          </w:p>
        </w:tc>
      </w:tr>
      <w:tr>
        <w:trPr>
          <w:trHeight w:val="234"/>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effective next</w:t>
            </w:r>
          </w:p>
        </w:tc>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multiple of 1%, up to a maximum of 15%.</w:t>
            </w:r>
          </w:p>
        </w:tc>
        <w:tc>
          <w:tcPr>
            <w:tcW w:w="0" w:type="dxa"/>
            <w:vAlign w:val="bottom"/>
          </w:tcPr>
          <w:p>
            <w:pPr>
              <w:spacing w:after="0"/>
              <w:rPr>
                <w:sz w:val="1"/>
                <w:szCs w:val="1"/>
                <w:color w:val="auto"/>
              </w:rPr>
            </w:pPr>
          </w:p>
        </w:tc>
      </w:tr>
      <w:tr>
        <w:trPr>
          <w:trHeight w:val="198"/>
        </w:trPr>
        <w:tc>
          <w:tcPr>
            <w:tcW w:w="2000" w:type="dxa"/>
            <w:vAlign w:val="bottom"/>
            <w:vMerge w:val="continue"/>
          </w:tcPr>
          <w:p>
            <w:pPr>
              <w:spacing w:after="0"/>
              <w:rPr>
                <w:sz w:val="17"/>
                <w:szCs w:val="17"/>
                <w:color w:val="auto"/>
              </w:rPr>
            </w:pPr>
          </w:p>
        </w:tc>
        <w:tc>
          <w:tcPr>
            <w:tcW w:w="6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Offering Period)</w:t>
            </w:r>
          </w:p>
        </w:tc>
        <w:tc>
          <w:tcPr>
            <w:tcW w:w="6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w:t>
            </w:r>
          </w:p>
        </w:tc>
        <w:tc>
          <w:tcPr>
            <w:tcW w:w="6740" w:type="dxa"/>
            <w:vAlign w:val="bottom"/>
          </w:tcPr>
          <w:p>
            <w:pPr>
              <w:ind w:left="280"/>
              <w:spacing w:after="0" w:line="195" w:lineRule="exact"/>
              <w:rPr>
                <w:sz w:val="20"/>
                <w:szCs w:val="20"/>
                <w:color w:val="auto"/>
              </w:rPr>
            </w:pPr>
            <w:r>
              <w:rPr>
                <w:rFonts w:ascii="Arial" w:cs="Arial" w:eastAsia="Arial" w:hAnsi="Arial"/>
                <w:sz w:val="18"/>
                <w:szCs w:val="18"/>
                <w:color w:val="auto"/>
                <w:w w:val="96"/>
              </w:rPr>
              <w:t>I hereby authorize the Company to reduce my contribution percentage from ___% to</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ECREASE</w:t>
            </w:r>
          </w:p>
        </w:tc>
        <w:tc>
          <w:tcPr>
            <w:tcW w:w="6740" w:type="dxa"/>
            <w:vAlign w:val="bottom"/>
          </w:tcPr>
          <w:p>
            <w:pPr>
              <w:ind w:left="280"/>
              <w:spacing w:after="0"/>
              <w:rPr>
                <w:sz w:val="20"/>
                <w:szCs w:val="20"/>
                <w:color w:val="auto"/>
              </w:rPr>
            </w:pPr>
            <w:r>
              <w:rPr>
                <w:rFonts w:ascii="Arial" w:cs="Arial" w:eastAsia="Arial" w:hAnsi="Arial"/>
                <w:sz w:val="18"/>
                <w:szCs w:val="18"/>
                <w:color w:val="auto"/>
                <w:w w:val="92"/>
              </w:rPr>
              <w:t>___% and withhold such percentage of my compensation (as defined in the ESPP) from</w:t>
            </w:r>
          </w:p>
        </w:tc>
        <w:tc>
          <w:tcPr>
            <w:tcW w:w="0" w:type="dxa"/>
            <w:vAlign w:val="bottom"/>
          </w:tcPr>
          <w:p>
            <w:pPr>
              <w:spacing w:after="0"/>
              <w:rPr>
                <w:sz w:val="1"/>
                <w:szCs w:val="1"/>
                <w:color w:val="auto"/>
              </w:rPr>
            </w:pPr>
          </w:p>
        </w:tc>
      </w:tr>
      <w:tr>
        <w:trPr>
          <w:trHeight w:val="212"/>
        </w:trPr>
        <w:tc>
          <w:tcPr>
            <w:tcW w:w="2000" w:type="dxa"/>
            <w:vAlign w:val="bottom"/>
            <w:vMerge w:val="continue"/>
          </w:tcPr>
          <w:p>
            <w:pPr>
              <w:spacing w:after="0"/>
              <w:rPr>
                <w:sz w:val="18"/>
                <w:szCs w:val="18"/>
                <w:color w:val="auto"/>
              </w:rPr>
            </w:pPr>
          </w:p>
        </w:tc>
        <w:tc>
          <w:tcPr>
            <w:tcW w:w="6740" w:type="dxa"/>
            <w:vAlign w:val="bottom"/>
          </w:tcPr>
          <w:p>
            <w:pPr>
              <w:ind w:left="280"/>
              <w:spacing w:after="0"/>
              <w:rPr>
                <w:sz w:val="20"/>
                <w:szCs w:val="20"/>
                <w:color w:val="auto"/>
              </w:rPr>
            </w:pPr>
            <w:r>
              <w:rPr>
                <w:rFonts w:ascii="Arial" w:cs="Arial" w:eastAsia="Arial" w:hAnsi="Arial"/>
                <w:sz w:val="18"/>
                <w:szCs w:val="18"/>
                <w:color w:val="auto"/>
                <w:w w:val="91"/>
              </w:rPr>
              <w:t>each of my paychecks, as long as I continue to participate in the ESPP. That amount will</w:t>
            </w: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ONTRIBUTION</w:t>
            </w:r>
          </w:p>
        </w:tc>
        <w:tc>
          <w:tcPr>
            <w:tcW w:w="6740" w:type="dxa"/>
            <w:vAlign w:val="bottom"/>
          </w:tcPr>
          <w:p>
            <w:pPr>
              <w:ind w:left="280"/>
              <w:spacing w:after="0"/>
              <w:rPr>
                <w:sz w:val="20"/>
                <w:szCs w:val="20"/>
                <w:color w:val="auto"/>
              </w:rPr>
            </w:pPr>
            <w:r>
              <w:rPr>
                <w:rFonts w:ascii="Arial" w:cs="Arial" w:eastAsia="Arial" w:hAnsi="Arial"/>
                <w:sz w:val="18"/>
                <w:szCs w:val="18"/>
                <w:color w:val="auto"/>
                <w:w w:val="91"/>
              </w:rPr>
              <w:t>be applied to the purchase of Shares pursuant to the ESPP, subject to any limits that the</w:t>
            </w: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ERCENTAGE</w:t>
            </w:r>
          </w:p>
        </w:tc>
        <w:tc>
          <w:tcPr>
            <w:tcW w:w="6740" w:type="dxa"/>
            <w:vAlign w:val="bottom"/>
          </w:tcPr>
          <w:p>
            <w:pPr>
              <w:ind w:left="280"/>
              <w:spacing w:after="0"/>
              <w:rPr>
                <w:sz w:val="20"/>
                <w:szCs w:val="20"/>
                <w:color w:val="auto"/>
              </w:rPr>
            </w:pPr>
            <w:r>
              <w:rPr>
                <w:rFonts w:ascii="Arial" w:cs="Arial" w:eastAsia="Arial" w:hAnsi="Arial"/>
                <w:sz w:val="18"/>
                <w:szCs w:val="18"/>
                <w:color w:val="auto"/>
              </w:rPr>
              <w:t>Company sets for the Offering Period.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(Change effective after seven NOTE: If you decrease your percentage to 0%, </w:t>
      </w:r>
      <w:r>
        <w:rPr>
          <w:rFonts w:ascii="Arial" w:cs="Arial" w:eastAsia="Arial" w:hAnsi="Arial"/>
          <w:sz w:val="18"/>
          <w:szCs w:val="18"/>
          <w:b w:val="1"/>
          <w:bCs w:val="1"/>
          <w:u w:val="single" w:color="auto"/>
          <w:color w:val="auto"/>
        </w:rPr>
        <w:t>any previously accumulated</w:t>
      </w:r>
    </w:p>
    <w:p>
      <w:pPr>
        <w:spacing w:after="0" w:line="27" w:lineRule="exact"/>
        <w:rPr>
          <w:sz w:val="20"/>
          <w:szCs w:val="20"/>
          <w:color w:val="auto"/>
        </w:rPr>
      </w:pPr>
    </w:p>
    <w:p>
      <w:pPr>
        <w:jc w:val="both"/>
        <w:ind w:left="2280" w:right="2500" w:hanging="2267"/>
        <w:spacing w:after="0" w:line="253" w:lineRule="auto"/>
        <w:tabs>
          <w:tab w:leader="none" w:pos="2260" w:val="left"/>
        </w:tabs>
        <w:rPr>
          <w:sz w:val="20"/>
          <w:szCs w:val="20"/>
          <w:color w:val="auto"/>
        </w:rPr>
      </w:pPr>
      <w:r>
        <w:rPr>
          <w:rFonts w:ascii="Arial" w:cs="Arial" w:eastAsia="Arial" w:hAnsi="Arial"/>
          <w:sz w:val="18"/>
          <w:szCs w:val="18"/>
          <w:b w:val="1"/>
          <w:bCs w:val="1"/>
          <w:color w:val="auto"/>
        </w:rPr>
        <w:t>business days)</w:t>
      </w:r>
      <w:r>
        <w:rPr>
          <w:sz w:val="20"/>
          <w:szCs w:val="20"/>
          <w:color w:val="auto"/>
        </w:rPr>
        <w:tab/>
      </w:r>
      <w:r>
        <w:rPr>
          <w:rFonts w:ascii="Arial" w:cs="Arial" w:eastAsia="Arial" w:hAnsi="Arial"/>
          <w:sz w:val="18"/>
          <w:szCs w:val="18"/>
          <w:b w:val="1"/>
          <w:bCs w:val="1"/>
          <w:u w:val="single" w:color="auto"/>
          <w:color w:val="auto"/>
        </w:rPr>
        <w:t xml:space="preserve">contributions </w:t>
      </w:r>
      <w:r>
        <w:rPr>
          <w:rFonts w:ascii="Arial" w:cs="Arial" w:eastAsia="Arial" w:hAnsi="Arial"/>
          <w:sz w:val="18"/>
          <w:szCs w:val="18"/>
          <w:b w:val="1"/>
          <w:bCs w:val="1"/>
          <w:color w:val="auto"/>
        </w:rPr>
        <w:t>will be used to purchase shares on the next purchase date and you will</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then be withdrawn from the ESPP. If you want to withdraw from the ESPP and have previously accumulated contributions refunded, please complete Section 6 below.</w:t>
      </w:r>
    </w:p>
    <w:p>
      <w:pPr>
        <w:spacing w:after="0" w:line="189" w:lineRule="exact"/>
        <w:rPr>
          <w:sz w:val="20"/>
          <w:szCs w:val="20"/>
          <w:color w:val="auto"/>
        </w:rPr>
      </w:pPr>
    </w:p>
    <w:p>
      <w:pPr>
        <w:jc w:val="both"/>
        <w:ind w:left="3040" w:right="2500" w:hanging="874"/>
        <w:spacing w:after="0" w:line="311" w:lineRule="auto"/>
        <w:tabs>
          <w:tab w:leader="none" w:pos="302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color w:val="auto"/>
        </w:rPr>
        <w:t>The new contribution percentage will become effective as of seven business days following the Company’s receipt of this Enrollment/Change Form, which means it may not take effect in your current payroll period. You can</w:t>
      </w:r>
    </w:p>
    <w:p>
      <w:pPr>
        <w:sectPr>
          <w:pgSz w:w="11900" w:h="16926" w:orient="portrait"/>
          <w:cols w:equalWidth="0" w:num="1">
            <w:col w:w="11240"/>
          </w:cols>
          <w:pgMar w:left="320" w:top="121" w:right="339" w:bottom="0" w:gutter="0" w:footer="0" w:header="0"/>
        </w:sectPr>
      </w:pPr>
    </w:p>
    <w:bookmarkStart w:id="53" w:name="page54"/>
    <w:bookmarkEnd w:id="5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only submit one request to decrease (but not discontinue) contributions per</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0" w:type="dxa"/>
            <w:vAlign w:val="bottom"/>
            <w:gridSpan w:val="5"/>
          </w:tcPr>
          <w:p>
            <w:pPr>
              <w:jc w:val="right"/>
              <w:ind w:right="20"/>
              <w:spacing w:after="0"/>
              <w:rPr>
                <w:sz w:val="20"/>
                <w:szCs w:val="20"/>
                <w:color w:val="auto"/>
              </w:rPr>
            </w:pPr>
            <w:r>
              <w:rPr>
                <w:rFonts w:ascii="Arial" w:cs="Arial" w:eastAsia="Arial" w:hAnsi="Arial"/>
                <w:sz w:val="18"/>
                <w:szCs w:val="18"/>
                <w:color w:val="auto"/>
                <w:w w:val="96"/>
              </w:rPr>
              <w:t>each 6-month purchase period. You can discontinue contributions at any</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auto"/>
                <w:w w:val="97"/>
              </w:rPr>
              <w:t>time. You cannot use this form to increase your contribution percentage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during an Offering Period. All requests for contribution increases must be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0" w:type="dxa"/>
            <w:vAlign w:val="bottom"/>
            <w:gridSpan w:val="5"/>
          </w:tcPr>
          <w:p>
            <w:pPr>
              <w:jc w:val="right"/>
              <w:ind w:right="3360"/>
              <w:spacing w:after="0"/>
              <w:rPr>
                <w:sz w:val="20"/>
                <w:szCs w:val="20"/>
                <w:color w:val="auto"/>
              </w:rPr>
            </w:pPr>
            <w:r>
              <w:rPr>
                <w:rFonts w:ascii="Arial" w:cs="Arial" w:eastAsia="Arial" w:hAnsi="Arial"/>
                <w:sz w:val="18"/>
                <w:szCs w:val="18"/>
                <w:color w:val="auto"/>
                <w:w w:val="88"/>
              </w:rPr>
              <w:t>made through Section 4 above.</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w:t>
            </w:r>
          </w:p>
        </w:tc>
        <w:tc>
          <w:tcPr>
            <w:tcW w:w="7120" w:type="dxa"/>
            <w:vAlign w:val="bottom"/>
            <w:gridSpan w:val="5"/>
          </w:tcPr>
          <w:p>
            <w:pPr>
              <w:jc w:val="right"/>
              <w:spacing w:after="0" w:line="195" w:lineRule="exact"/>
              <w:rPr>
                <w:sz w:val="20"/>
                <w:szCs w:val="20"/>
                <w:color w:val="auto"/>
              </w:rPr>
            </w:pPr>
            <w:r>
              <w:rPr>
                <w:rFonts w:ascii="Arial" w:cs="Arial" w:eastAsia="Arial" w:hAnsi="Arial"/>
                <w:sz w:val="18"/>
                <w:szCs w:val="18"/>
                <w:color w:val="auto"/>
              </w:rPr>
              <w:t>I hereby elect to stop my contributions under the ESPP, effective as soon as reasonably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ITHDRAW</w:t>
            </w:r>
          </w:p>
        </w:tc>
        <w:tc>
          <w:tcPr>
            <w:tcW w:w="7140" w:type="dxa"/>
            <w:vAlign w:val="bottom"/>
            <w:gridSpan w:val="6"/>
          </w:tcPr>
          <w:p>
            <w:pPr>
              <w:jc w:val="right"/>
              <w:ind w:right="20"/>
              <w:spacing w:after="0"/>
              <w:rPr>
                <w:sz w:val="20"/>
                <w:szCs w:val="20"/>
                <w:color w:val="auto"/>
              </w:rPr>
            </w:pPr>
            <w:r>
              <w:rPr>
                <w:rFonts w:ascii="Arial" w:cs="Arial" w:eastAsia="Arial" w:hAnsi="Arial"/>
                <w:sz w:val="18"/>
                <w:szCs w:val="18"/>
                <w:color w:val="auto"/>
              </w:rPr>
              <w:t>practicable after the Company receives this form, and withdraw from the ESPP. The</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7140" w:type="dxa"/>
            <w:vAlign w:val="bottom"/>
            <w:gridSpan w:val="6"/>
          </w:tcPr>
          <w:p>
            <w:pPr>
              <w:jc w:val="right"/>
              <w:ind w:right="20"/>
              <w:spacing w:after="0"/>
              <w:rPr>
                <w:sz w:val="20"/>
                <w:szCs w:val="20"/>
                <w:color w:val="auto"/>
              </w:rPr>
            </w:pPr>
            <w:r>
              <w:rPr>
                <w:rFonts w:ascii="Arial" w:cs="Arial" w:eastAsia="Arial" w:hAnsi="Arial"/>
                <w:sz w:val="18"/>
                <w:szCs w:val="18"/>
                <w:color w:val="auto"/>
              </w:rPr>
              <w:t>unused contributions that I have made to date during the current Offering Period should</w:t>
            </w:r>
          </w:p>
        </w:tc>
        <w:tc>
          <w:tcPr>
            <w:tcW w:w="0" w:type="dxa"/>
            <w:vAlign w:val="bottom"/>
          </w:tcPr>
          <w:p>
            <w:pPr>
              <w:spacing w:after="0"/>
              <w:rPr>
                <w:sz w:val="1"/>
                <w:szCs w:val="1"/>
                <w:color w:val="auto"/>
              </w:rPr>
            </w:pPr>
          </w:p>
        </w:tc>
      </w:tr>
      <w:tr>
        <w:trPr>
          <w:trHeight w:val="230"/>
        </w:trPr>
        <w:tc>
          <w:tcPr>
            <w:tcW w:w="1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Check here:</w:t>
            </w:r>
          </w:p>
        </w:tc>
        <w:tc>
          <w:tcPr>
            <w:tcW w:w="7140" w:type="dxa"/>
            <w:vAlign w:val="bottom"/>
            <w:gridSpan w:val="6"/>
          </w:tcPr>
          <w:p>
            <w:pPr>
              <w:jc w:val="right"/>
              <w:ind w:right="3360"/>
              <w:spacing w:after="0"/>
              <w:rPr>
                <w:sz w:val="20"/>
                <w:szCs w:val="20"/>
                <w:color w:val="auto"/>
              </w:rPr>
            </w:pPr>
            <w:r>
              <w:rPr>
                <w:rFonts w:ascii="Arial" w:cs="Arial" w:eastAsia="Arial" w:hAnsi="Arial"/>
                <w:sz w:val="18"/>
                <w:szCs w:val="18"/>
                <w:color w:val="auto"/>
              </w:rPr>
              <w:t>be refunded to me in cash, without interest.</w:t>
            </w:r>
          </w:p>
        </w:tc>
        <w:tc>
          <w:tcPr>
            <w:tcW w:w="0" w:type="dxa"/>
            <w:vAlign w:val="bottom"/>
          </w:tcPr>
          <w:p>
            <w:pPr>
              <w:spacing w:after="0"/>
              <w:rPr>
                <w:sz w:val="1"/>
                <w:szCs w:val="1"/>
                <w:color w:val="auto"/>
              </w:rPr>
            </w:pPr>
          </w:p>
        </w:tc>
      </w:tr>
      <w:tr>
        <w:trPr>
          <w:trHeight w:val="211"/>
        </w:trPr>
        <w:tc>
          <w:tcPr>
            <w:tcW w:w="16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-1513840</wp:posOffset>
            </wp:positionV>
            <wp:extent cx="713613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both"/>
        <w:ind w:left="2280" w:right="1399" w:hanging="1206"/>
        <w:spacing w:after="0" w:line="258" w:lineRule="auto"/>
        <w:tabs>
          <w:tab w:leader="none" w:pos="2280" w:val="left"/>
        </w:tabs>
        <w:numPr>
          <w:ilvl w:val="0"/>
          <w:numId w:val="25"/>
        </w:numPr>
        <w:rPr>
          <w:rFonts w:ascii="MS PGothic" w:cs="MS PGothic" w:eastAsia="MS PGothic" w:hAnsi="MS PGothic"/>
          <w:sz w:val="18"/>
          <w:szCs w:val="18"/>
          <w:color w:val="auto"/>
        </w:rPr>
      </w:pPr>
      <w:r>
        <w:rPr>
          <w:rFonts w:ascii="Arial" w:cs="Arial" w:eastAsia="Arial" w:hAnsi="Arial"/>
          <w:sz w:val="18"/>
          <w:szCs w:val="18"/>
          <w:b w:val="1"/>
          <w:bCs w:val="1"/>
          <w:color w:val="auto"/>
        </w:rPr>
        <w:t>I understand that I cannot resume participation until I re-enroll in the ESPP by filing a new Enrollment/Change Form with the Company and such re-enrollment will be effective only at the start of the next Offering Period.</w:t>
      </w:r>
    </w:p>
    <w:p>
      <w:pPr>
        <w:spacing w:after="0" w:line="183" w:lineRule="exact"/>
        <w:rPr>
          <w:rFonts w:ascii="MS PGothic" w:cs="MS PGothic" w:eastAsia="MS PGothic" w:hAnsi="MS PGothic"/>
          <w:sz w:val="18"/>
          <w:szCs w:val="18"/>
          <w:color w:val="auto"/>
        </w:rPr>
      </w:pPr>
    </w:p>
    <w:p>
      <w:pPr>
        <w:ind w:left="3180" w:right="1399" w:hanging="881"/>
        <w:spacing w:after="0" w:line="286" w:lineRule="auto"/>
        <w:rPr>
          <w:rFonts w:ascii="MS PGothic" w:cs="MS PGothic" w:eastAsia="MS PGothic" w:hAnsi="MS PGothic"/>
          <w:sz w:val="18"/>
          <w:szCs w:val="18"/>
          <w:color w:val="auto"/>
        </w:rPr>
      </w:pPr>
      <w:r>
        <w:rPr>
          <w:rFonts w:ascii="Arial" w:cs="Arial" w:eastAsia="Arial" w:hAnsi="Arial"/>
          <w:sz w:val="18"/>
          <w:szCs w:val="18"/>
          <w:b w:val="1"/>
          <w:bCs w:val="1"/>
          <w:color w:val="auto"/>
        </w:rPr>
        <w:t>Note:</w:t>
      </w:r>
      <w:r>
        <w:rPr>
          <w:rFonts w:ascii="Arial" w:cs="Arial" w:eastAsia="Arial" w:hAnsi="Arial"/>
          <w:sz w:val="17"/>
          <w:szCs w:val="17"/>
          <w:color w:val="auto"/>
        </w:rPr>
        <w:t>Your withdrawal request will not become effective until seven business days following the Company’s receipt of this Enrollment/Change Form, which means it may not take effect until after the current Offering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w:t>
            </w:r>
          </w:p>
        </w:tc>
        <w:tc>
          <w:tcPr>
            <w:tcW w:w="6500" w:type="dxa"/>
            <w:vAlign w:val="bottom"/>
          </w:tcPr>
          <w:p>
            <w:pPr>
              <w:ind w:left="40"/>
              <w:spacing w:after="0"/>
              <w:rPr>
                <w:sz w:val="20"/>
                <w:szCs w:val="20"/>
                <w:color w:val="auto"/>
              </w:rPr>
            </w:pPr>
            <w:r>
              <w:rPr>
                <w:rFonts w:ascii="Arial" w:cs="Arial" w:eastAsia="Arial" w:hAnsi="Arial"/>
                <w:sz w:val="18"/>
                <w:szCs w:val="18"/>
                <w:color w:val="auto"/>
                <w:w w:val="96"/>
              </w:rPr>
              <w:t>Regardless of any action the Company or my employer (the “</w:t>
            </w:r>
            <w:r>
              <w:rPr>
                <w:rFonts w:ascii="Arial" w:cs="Arial" w:eastAsia="Arial" w:hAnsi="Arial"/>
                <w:sz w:val="18"/>
                <w:szCs w:val="18"/>
                <w:b w:val="1"/>
                <w:bCs w:val="1"/>
                <w:color w:val="auto"/>
                <w:w w:val="96"/>
              </w:rPr>
              <w:t>Employer</w:t>
            </w:r>
            <w:r>
              <w:rPr>
                <w:rFonts w:ascii="Arial" w:cs="Arial" w:eastAsia="Arial" w:hAnsi="Arial"/>
                <w:sz w:val="18"/>
                <w:szCs w:val="18"/>
                <w:color w:val="auto"/>
                <w:w w:val="96"/>
              </w:rPr>
              <w:t>”) takes with</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ESPONSIBILITY FOR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tc>
        <w:tc>
          <w:tcPr>
            <w:tcW w:w="6500" w:type="dxa"/>
            <w:vAlign w:val="bottom"/>
          </w:tcPr>
          <w:p>
            <w:pPr>
              <w:ind w:left="40"/>
              <w:spacing w:after="0"/>
              <w:rPr>
                <w:sz w:val="20"/>
                <w:szCs w:val="20"/>
                <w:color w:val="auto"/>
              </w:rPr>
            </w:pPr>
            <w:r>
              <w:rPr>
                <w:rFonts w:ascii="Arial" w:cs="Arial" w:eastAsia="Arial" w:hAnsi="Arial"/>
                <w:sz w:val="18"/>
                <w:szCs w:val="18"/>
                <w:color w:val="auto"/>
                <w:w w:val="91"/>
              </w:rPr>
              <w:t>respect to any or all income tax, social security, payroll tax, payment on account or other</w:t>
            </w:r>
          </w:p>
        </w:tc>
        <w:tc>
          <w:tcPr>
            <w:tcW w:w="0" w:type="dxa"/>
            <w:vAlign w:val="bottom"/>
          </w:tcPr>
          <w:p>
            <w:pPr>
              <w:spacing w:after="0"/>
              <w:rPr>
                <w:sz w:val="1"/>
                <w:szCs w:val="1"/>
                <w:color w:val="auto"/>
              </w:rPr>
            </w:pPr>
          </w:p>
        </w:tc>
      </w:tr>
      <w:tr>
        <w:trPr>
          <w:trHeight w:val="212"/>
        </w:trPr>
        <w:tc>
          <w:tcPr>
            <w:tcW w:w="2240" w:type="dxa"/>
            <w:vAlign w:val="bottom"/>
            <w:vMerge w:val="continue"/>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5"/>
              </w:rPr>
              <w:t>tax-related items related to my participation in the ESPP and legally applicable to me</w:t>
            </w: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Tax-Related Items</w:t>
            </w:r>
            <w:r>
              <w:rPr>
                <w:rFonts w:ascii="Arial" w:cs="Arial" w:eastAsia="Arial" w:hAnsi="Arial"/>
                <w:sz w:val="18"/>
                <w:szCs w:val="18"/>
                <w:color w:val="auto"/>
                <w:w w:val="99"/>
              </w:rPr>
              <w:t>”), I acknowledge that the ultimate liability for all Tax-Related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2"/>
              </w:rPr>
              <w:t>Items is and remains my responsibility and may exceed the amount actually withheld by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1"/>
              </w:rPr>
              <w:t>the Company or the Employer, if any. I further acknowledge that the Company and/or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4"/>
              </w:rPr>
              <w:t>Employer (1) make no representations or undertakings regarding the treatment of any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4"/>
              </w:rPr>
              <w:t>Tax-Related Items in connection with any aspect of the purchase of Shares under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6"/>
              </w:rPr>
              <w:t>ESPP, including but not limited to, the issuance of Shares, the sale of Shares or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receipt of any dividends; and (2) do not commit to and are under no obligation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6"/>
              </w:rPr>
              <w:t>structure the terms of the grant or any aspect of my ESPP participation to reduce 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3"/>
              </w:rPr>
              <w:t>eliminate my liability for Tax-Related Items or achieve any particular tax result. Further,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3"/>
              </w:rPr>
              <w:t>if I have become subject to tax in more than one jurisdiction between the Offering Date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and the date of any relevant taxable or tax withholding event, as applicable, I</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1"/>
              </w:rPr>
              <w:t>acknowledge that the Company and/or the Employer (or former Employer, as applicable)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may be required to withhold or account for Tax-Related Items in more than one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jurisdiction.</w:t>
            </w:r>
          </w:p>
        </w:tc>
        <w:tc>
          <w:tcPr>
            <w:tcW w:w="0" w:type="dxa"/>
            <w:vAlign w:val="bottom"/>
          </w:tcPr>
          <w:p>
            <w:pPr>
              <w:spacing w:after="0"/>
              <w:rPr>
                <w:sz w:val="1"/>
                <w:szCs w:val="1"/>
                <w:color w:val="auto"/>
              </w:rPr>
            </w:pPr>
          </w:p>
        </w:tc>
      </w:tr>
      <w:tr>
        <w:trPr>
          <w:trHeight w:val="418"/>
        </w:trPr>
        <w:tc>
          <w:tcPr>
            <w:tcW w:w="224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Prior to the purchase of Shares under the ESPP, I will pay or make adequate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0"/>
              </w:rPr>
              <w:t>arrangements satisfactory to the Company and/or the Employer to satisfy all Tax-Related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3"/>
              </w:rPr>
              <w:t>Items. In this regard, I authorize the Company and/or the Employer, or their respective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3"/>
              </w:rPr>
              <w:t>agents, at their discretion, to satisfy the obligations with regard to all Tax-Related Items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by one or more of the following: (i) withholding from my wages or other cash</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6"/>
              </w:rPr>
              <w:t>compensation paid to me by the Company and/or the Employer; (ii) withholding from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0"/>
              </w:rPr>
              <w:t>proceeds of the sale of Shares acquired upon purchase either through a voluntary sale 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7"/>
              </w:rPr>
              <w:t>through a mandatory sale arranged by the Company (on my behalf pursuant to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5"/>
              </w:rPr>
              <w:t>authorization and without further consent); or (iii) any other arrangement approved by</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the Compensation Committee and permitted under applicable law.</w:t>
            </w:r>
          </w:p>
        </w:tc>
        <w:tc>
          <w:tcPr>
            <w:tcW w:w="0" w:type="dxa"/>
            <w:vAlign w:val="bottom"/>
          </w:tcPr>
          <w:p>
            <w:pPr>
              <w:spacing w:after="0"/>
              <w:rPr>
                <w:sz w:val="1"/>
                <w:szCs w:val="1"/>
                <w:color w:val="auto"/>
              </w:rPr>
            </w:pPr>
          </w:p>
        </w:tc>
      </w:tr>
      <w:tr>
        <w:trPr>
          <w:trHeight w:val="418"/>
        </w:trPr>
        <w:tc>
          <w:tcPr>
            <w:tcW w:w="224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4"/>
              </w:rPr>
              <w:t>Finally, I shall pay to the Company or the Employer any amount of Tax-Related Items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1"/>
              </w:rPr>
              <w:t>that the Company or the Employer may be required to withhold or account for as a result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of my participation in the ESPP that cannot be satisfied by the means previously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0"/>
              </w:rPr>
              <w:t>described. The Company may refuse to purchase or deliver the Shares or the proceeds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7"/>
              </w:rPr>
              <w:t>the sale of Shares, if I fail to comply with my obligations in connection with the Tax-</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Related Items.</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w:t>
            </w:r>
          </w:p>
        </w:tc>
        <w:tc>
          <w:tcPr>
            <w:tcW w:w="6500" w:type="dxa"/>
            <w:vAlign w:val="bottom"/>
          </w:tcPr>
          <w:p>
            <w:pPr>
              <w:ind w:left="40"/>
              <w:spacing w:after="0" w:line="195" w:lineRule="exact"/>
              <w:rPr>
                <w:sz w:val="20"/>
                <w:szCs w:val="20"/>
                <w:color w:val="auto"/>
              </w:rPr>
            </w:pPr>
            <w:r>
              <w:rPr>
                <w:rFonts w:ascii="Arial" w:cs="Arial" w:eastAsia="Arial" w:hAnsi="Arial"/>
                <w:sz w:val="18"/>
                <w:szCs w:val="18"/>
                <w:color w:val="auto"/>
                <w:w w:val="96"/>
              </w:rPr>
              <w:t>The Company is not providing any tax, legal or financial advice, nor is the Company</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DVICE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p>
        </w:tc>
        <w:tc>
          <w:tcPr>
            <w:tcW w:w="6500" w:type="dxa"/>
            <w:vAlign w:val="bottom"/>
          </w:tcPr>
          <w:p>
            <w:pPr>
              <w:ind w:left="40"/>
              <w:spacing w:after="0"/>
              <w:rPr>
                <w:sz w:val="20"/>
                <w:szCs w:val="20"/>
                <w:color w:val="auto"/>
              </w:rPr>
            </w:pPr>
            <w:r>
              <w:rPr>
                <w:rFonts w:ascii="Arial" w:cs="Arial" w:eastAsia="Arial" w:hAnsi="Arial"/>
                <w:sz w:val="18"/>
                <w:szCs w:val="18"/>
                <w:color w:val="auto"/>
                <w:w w:val="92"/>
              </w:rPr>
              <w:t>making any recommendations regarding my participation in the ESPP, or my acquisition</w:t>
            </w: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3"/>
              </w:rPr>
              <w:t>or sale of the underlying Shares. I am hereby advised to consult with my own personal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5"/>
              </w:rPr>
              <w:t>tax, legal and financial advisors regarding my participation in the ESPP before taking</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any action related to the ESPP.</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line="19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w:t>
            </w:r>
          </w:p>
        </w:tc>
        <w:tc>
          <w:tcPr>
            <w:tcW w:w="6500" w:type="dxa"/>
            <w:vAlign w:val="bottom"/>
          </w:tcPr>
          <w:p>
            <w:pPr>
              <w:ind w:left="40"/>
              <w:spacing w:after="0" w:line="191" w:lineRule="exact"/>
              <w:rPr>
                <w:sz w:val="20"/>
                <w:szCs w:val="20"/>
                <w:color w:val="auto"/>
              </w:rPr>
            </w:pPr>
            <w:r>
              <w:rPr>
                <w:rFonts w:ascii="Arial" w:cs="Arial" w:eastAsia="Arial" w:hAnsi="Arial"/>
                <w:sz w:val="18"/>
                <w:szCs w:val="18"/>
                <w:color w:val="auto"/>
                <w:w w:val="95"/>
              </w:rPr>
              <w:t>The provisions of this Enrollment/Change Form are severable and if any one or more</w:t>
            </w:r>
          </w:p>
        </w:tc>
        <w:tc>
          <w:tcPr>
            <w:tcW w:w="0" w:type="dxa"/>
            <w:vAlign w:val="bottom"/>
          </w:tcPr>
          <w:p>
            <w:pPr>
              <w:spacing w:after="0"/>
              <w:rPr>
                <w:sz w:val="1"/>
                <w:szCs w:val="1"/>
                <w:color w:val="auto"/>
              </w:rPr>
            </w:pPr>
          </w:p>
        </w:tc>
      </w:tr>
      <w:tr>
        <w:trPr>
          <w:trHeight w:val="220"/>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p>
        </w:tc>
        <w:tc>
          <w:tcPr>
            <w:tcW w:w="6500" w:type="dxa"/>
            <w:vAlign w:val="bottom"/>
          </w:tcPr>
          <w:p>
            <w:pPr>
              <w:ind w:left="40"/>
              <w:spacing w:after="0"/>
              <w:rPr>
                <w:sz w:val="20"/>
                <w:szCs w:val="20"/>
                <w:color w:val="auto"/>
              </w:rPr>
            </w:pPr>
            <w:r>
              <w:rPr>
                <w:rFonts w:ascii="Arial" w:cs="Arial" w:eastAsia="Arial" w:hAnsi="Arial"/>
                <w:sz w:val="18"/>
                <w:szCs w:val="18"/>
                <w:color w:val="auto"/>
                <w:w w:val="94"/>
              </w:rPr>
              <w:t>provisions are determined to be illegal or otherwise unenforceable, in whole or in part,</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the remaining provisions shall nevertheless be binding and enforceable.</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w:t>
            </w:r>
          </w:p>
        </w:tc>
        <w:tc>
          <w:tcPr>
            <w:tcW w:w="6500" w:type="dxa"/>
            <w:vAlign w:val="bottom"/>
          </w:tcPr>
          <w:p>
            <w:pPr>
              <w:ind w:left="40"/>
              <w:spacing w:after="0" w:line="195" w:lineRule="exact"/>
              <w:rPr>
                <w:sz w:val="20"/>
                <w:szCs w:val="20"/>
                <w:color w:val="auto"/>
              </w:rPr>
            </w:pPr>
            <w:r>
              <w:rPr>
                <w:rFonts w:ascii="Arial" w:cs="Arial" w:eastAsia="Arial" w:hAnsi="Arial"/>
                <w:sz w:val="18"/>
                <w:szCs w:val="18"/>
                <w:color w:val="auto"/>
                <w:w w:val="91"/>
              </w:rPr>
              <w:t>The Company reserves the right, at its option, to terminate, suspend or modify the terms</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MODIFICATION</w:t>
            </w:r>
          </w:p>
        </w:tc>
        <w:tc>
          <w:tcPr>
            <w:tcW w:w="6500" w:type="dxa"/>
            <w:vAlign w:val="bottom"/>
          </w:tcPr>
          <w:p>
            <w:pPr>
              <w:ind w:left="40"/>
              <w:spacing w:after="0"/>
              <w:rPr>
                <w:sz w:val="20"/>
                <w:szCs w:val="20"/>
                <w:color w:val="auto"/>
              </w:rPr>
            </w:pPr>
            <w:r>
              <w:rPr>
                <w:rFonts w:ascii="Arial" w:cs="Arial" w:eastAsia="Arial" w:hAnsi="Arial"/>
                <w:sz w:val="18"/>
                <w:szCs w:val="18"/>
                <w:color w:val="auto"/>
                <w:w w:val="92"/>
              </w:rPr>
              <w:t>of the ESPP at any time, to the extent permitted by the ESPP. In addition, the Company</w:t>
            </w:r>
          </w:p>
        </w:tc>
        <w:tc>
          <w:tcPr>
            <w:tcW w:w="0" w:type="dxa"/>
            <w:vAlign w:val="bottom"/>
          </w:tcPr>
          <w:p>
            <w:pPr>
              <w:spacing w:after="0"/>
              <w:rPr>
                <w:sz w:val="1"/>
                <w:szCs w:val="1"/>
                <w:color w:val="auto"/>
              </w:rPr>
            </w:pPr>
          </w:p>
        </w:tc>
      </w:tr>
      <w:tr>
        <w:trPr>
          <w:trHeight w:val="212"/>
        </w:trPr>
        <w:tc>
          <w:tcPr>
            <w:tcW w:w="2240" w:type="dxa"/>
            <w:vAlign w:val="bottom"/>
            <w:vMerge w:val="continue"/>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1"/>
              </w:rPr>
              <w:t>reserves the right to impose other requirements on my participation in the ESPP, and on</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2"/>
                <w:szCs w:val="12"/>
                <w:b w:val="1"/>
                <w:bCs w:val="1"/>
                <w:color w:val="auto"/>
              </w:rPr>
              <w:t xml:space="preserve">AND </w:t>
            </w:r>
            <w:r>
              <w:rPr>
                <w:rFonts w:ascii="Arial" w:cs="Arial" w:eastAsia="Arial" w:hAnsi="Arial"/>
                <w:sz w:val="17"/>
                <w:szCs w:val="17"/>
                <w:b w:val="1"/>
                <w:bCs w:val="1"/>
                <w:color w:val="auto"/>
              </w:rPr>
              <w:t>I</w:t>
            </w:r>
            <w:r>
              <w:rPr>
                <w:rFonts w:ascii="Arial" w:cs="Arial" w:eastAsia="Arial" w:hAnsi="Arial"/>
                <w:sz w:val="12"/>
                <w:szCs w:val="12"/>
                <w:b w:val="1"/>
                <w:bCs w:val="1"/>
                <w:color w:val="auto"/>
              </w:rPr>
              <w:t xml:space="preserve">MPOSITION OF </w:t>
            </w:r>
            <w:r>
              <w:rPr>
                <w:rFonts w:ascii="Arial" w:cs="Arial" w:eastAsia="Arial" w:hAnsi="Arial"/>
                <w:sz w:val="17"/>
                <w:szCs w:val="17"/>
                <w:b w:val="1"/>
                <w:bCs w:val="1"/>
                <w:color w:val="auto"/>
              </w:rPr>
              <w:t>O</w:t>
            </w:r>
            <w:r>
              <w:rPr>
                <w:rFonts w:ascii="Arial" w:cs="Arial" w:eastAsia="Arial" w:hAnsi="Arial"/>
                <w:sz w:val="12"/>
                <w:szCs w:val="12"/>
                <w:b w:val="1"/>
                <w:bCs w:val="1"/>
                <w:color w:val="auto"/>
              </w:rPr>
              <w:t>THER</w:t>
            </w:r>
          </w:p>
        </w:tc>
        <w:tc>
          <w:tcPr>
            <w:tcW w:w="6500" w:type="dxa"/>
            <w:vAlign w:val="bottom"/>
          </w:tcPr>
          <w:p>
            <w:pPr>
              <w:ind w:left="40"/>
              <w:spacing w:after="0"/>
              <w:rPr>
                <w:sz w:val="20"/>
                <w:szCs w:val="20"/>
                <w:color w:val="auto"/>
              </w:rPr>
            </w:pPr>
            <w:r>
              <w:rPr>
                <w:rFonts w:ascii="Arial" w:cs="Arial" w:eastAsia="Arial" w:hAnsi="Arial"/>
                <w:sz w:val="18"/>
                <w:szCs w:val="18"/>
                <w:color w:val="auto"/>
                <w:w w:val="91"/>
              </w:rPr>
              <w:t>the right to purchase Shares, to the extent it determines necessary or advisable for legal</w:t>
            </w:r>
          </w:p>
        </w:tc>
        <w:tc>
          <w:tcPr>
            <w:tcW w:w="0" w:type="dxa"/>
            <w:vAlign w:val="bottom"/>
          </w:tcPr>
          <w:p>
            <w:pPr>
              <w:spacing w:after="0"/>
              <w:rPr>
                <w:sz w:val="1"/>
                <w:szCs w:val="1"/>
                <w:color w:val="auto"/>
              </w:rPr>
            </w:pPr>
          </w:p>
        </w:tc>
      </w:tr>
      <w:tr>
        <w:trPr>
          <w:trHeight w:val="220"/>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EQUIREMENTS</w:t>
            </w:r>
          </w:p>
        </w:tc>
        <w:tc>
          <w:tcPr>
            <w:tcW w:w="6500" w:type="dxa"/>
            <w:vAlign w:val="bottom"/>
          </w:tcPr>
          <w:p>
            <w:pPr>
              <w:ind w:left="40"/>
              <w:spacing w:after="0"/>
              <w:rPr>
                <w:sz w:val="20"/>
                <w:szCs w:val="20"/>
                <w:color w:val="auto"/>
              </w:rPr>
            </w:pPr>
            <w:r>
              <w:rPr>
                <w:rFonts w:ascii="Arial" w:cs="Arial" w:eastAsia="Arial" w:hAnsi="Arial"/>
                <w:sz w:val="18"/>
                <w:szCs w:val="18"/>
                <w:color w:val="auto"/>
                <w:w w:val="98"/>
              </w:rPr>
              <w:t>or administrative reasons. I agree to be bound by such modifications regardless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whether notice is given to me of such event, subject, in any case, to my right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withdrawal from participation in the ESPP. I further agree to sign any additional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w w:val="90"/>
              </w:rPr>
              <w:t>agreements or undertaking as may be necessary in connection with the imposition of any</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new requirements to participate in the ESPP.</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w:t>
            </w:r>
          </w:p>
        </w:tc>
        <w:tc>
          <w:tcPr>
            <w:tcW w:w="6500" w:type="dxa"/>
            <w:vAlign w:val="bottom"/>
          </w:tcPr>
          <w:p>
            <w:pPr>
              <w:ind w:left="40"/>
              <w:spacing w:after="0"/>
              <w:rPr>
                <w:sz w:val="20"/>
                <w:szCs w:val="20"/>
                <w:color w:val="auto"/>
              </w:rPr>
            </w:pPr>
            <w:r>
              <w:rPr>
                <w:rFonts w:ascii="Arial" w:cs="Arial" w:eastAsia="Arial" w:hAnsi="Arial"/>
                <w:sz w:val="18"/>
                <w:szCs w:val="18"/>
                <w:color w:val="auto"/>
                <w:w w:val="92"/>
              </w:rPr>
              <w:t>The interpretation, performance and enforcement of this Enrollment/Change Form shall</w:t>
            </w:r>
          </w:p>
        </w:tc>
        <w:tc>
          <w:tcPr>
            <w:tcW w:w="0" w:type="dxa"/>
            <w:vAlign w:val="bottom"/>
          </w:tcPr>
          <w:p>
            <w:pPr>
              <w:spacing w:after="0"/>
              <w:rPr>
                <w:sz w:val="1"/>
                <w:szCs w:val="1"/>
                <w:color w:val="auto"/>
              </w:rPr>
            </w:pPr>
          </w:p>
        </w:tc>
      </w:tr>
    </w:tbl>
    <w:p>
      <w:pPr>
        <w:sectPr>
          <w:pgSz w:w="11900" w:h="16851" w:orient="portrait"/>
          <w:cols w:equalWidth="0" w:num="1">
            <w:col w:w="10139"/>
          </w:cols>
          <w:pgMar w:left="320" w:top="108" w:right="1440" w:bottom="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be governed by the laws of the State of California without resort to that State’s conflict-</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vMerge w:val="continue"/>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of-laws rules. For purposes of litigating any dispute that arises directly or indirectly from</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the relationship of the parties evidenced by the purchase of any Shares or the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Enrollment/Change Form, the parties hereby submit to and consent to the exclusive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jurisdiction of the State of California and agree that such litigation shall be conducted</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only in the courts of California, or the federal courts of the United States for the Northern</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District of California, and no other courts, where the purchase of Shares is made and/or</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to be performed.</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tcBorders>
          </w:tcPr>
          <w:p>
            <w:pPr>
              <w:spacing w:after="0"/>
              <w:rPr>
                <w:sz w:val="18"/>
                <w:szCs w:val="18"/>
                <w:color w:val="auto"/>
              </w:rPr>
            </w:pPr>
          </w:p>
        </w:tc>
        <w:tc>
          <w:tcPr>
            <w:tcW w:w="6880" w:type="dxa"/>
            <w:vAlign w:val="bottom"/>
            <w:tcBorders>
              <w:bottom w:val="single" w:sz="8" w:color="auto"/>
            </w:tcBorders>
            <w:gridSpan w:val="2"/>
          </w:tcPr>
          <w:p>
            <w:pPr>
              <w:spacing w:after="0"/>
              <w:rPr>
                <w:sz w:val="18"/>
                <w:szCs w:val="18"/>
                <w:color w:val="auto"/>
              </w:rPr>
            </w:pPr>
          </w:p>
        </w:tc>
        <w:tc>
          <w:tcPr>
            <w:tcW w:w="250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w:t>
            </w:r>
          </w:p>
        </w:tc>
        <w:tc>
          <w:tcPr>
            <w:tcW w:w="688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89"/>
              </w:rPr>
              <w:t>I acknowledge that I have received a copy of the ESPP, and the Summary and Prospectus</w:t>
            </w:r>
          </w:p>
        </w:tc>
        <w:tc>
          <w:tcPr>
            <w:tcW w:w="2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CKNOWLEDGEMENT</w:t>
            </w: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summarizing the major features of the ESPP. I have read the ESPP, the Summary and</w:t>
            </w:r>
          </w:p>
        </w:tc>
        <w:tc>
          <w:tcPr>
            <w:tcW w:w="0" w:type="dxa"/>
            <w:vAlign w:val="bottom"/>
          </w:tcPr>
          <w:p>
            <w:pPr>
              <w:spacing w:after="0"/>
              <w:rPr>
                <w:sz w:val="1"/>
                <w:szCs w:val="1"/>
                <w:color w:val="auto"/>
              </w:rPr>
            </w:pPr>
          </w:p>
        </w:tc>
      </w:tr>
      <w:tr>
        <w:trPr>
          <w:trHeight w:val="212"/>
        </w:trPr>
        <w:tc>
          <w:tcPr>
            <w:tcW w:w="1860" w:type="dxa"/>
            <w:vAlign w:val="bottom"/>
            <w:tcBorders>
              <w:left w:val="single" w:sz="8" w:color="auto"/>
            </w:tcBorders>
            <w:vMerge w:val="continue"/>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Prospectus and this Enrollment/Change Form, and hereby agree to be bound by the terms</w:t>
            </w:r>
          </w:p>
        </w:tc>
        <w:tc>
          <w:tcPr>
            <w:tcW w:w="0" w:type="dxa"/>
            <w:vAlign w:val="bottom"/>
          </w:tcPr>
          <w:p>
            <w:pPr>
              <w:spacing w:after="0"/>
              <w:rPr>
                <w:sz w:val="1"/>
                <w:szCs w:val="1"/>
                <w:color w:val="auto"/>
              </w:rPr>
            </w:pPr>
          </w:p>
        </w:tc>
      </w:tr>
      <w:tr>
        <w:trPr>
          <w:trHeight w:val="234"/>
        </w:trPr>
        <w:tc>
          <w:tcPr>
            <w:tcW w:w="18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IGNATURE</w:t>
            </w: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of the ESPP, and this Enrollment/Change Form.</w:t>
            </w:r>
          </w:p>
        </w:tc>
        <w:tc>
          <w:tcPr>
            <w:tcW w:w="0" w:type="dxa"/>
            <w:vAlign w:val="bottom"/>
          </w:tcPr>
          <w:p>
            <w:pPr>
              <w:spacing w:after="0"/>
              <w:rPr>
                <w:sz w:val="1"/>
                <w:szCs w:val="1"/>
                <w:color w:val="auto"/>
              </w:rPr>
            </w:pPr>
          </w:p>
        </w:tc>
      </w:tr>
      <w:tr>
        <w:trPr>
          <w:trHeight w:val="418"/>
        </w:trPr>
        <w:tc>
          <w:tcPr>
            <w:tcW w:w="1860" w:type="dxa"/>
            <w:vAlign w:val="bottom"/>
            <w:tcBorders>
              <w:left w:val="single" w:sz="8" w:color="auto"/>
            </w:tcBorders>
          </w:tcPr>
          <w:p>
            <w:pPr>
              <w:spacing w:after="0"/>
              <w:rPr>
                <w:sz w:val="24"/>
                <w:szCs w:val="24"/>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I agree that the Company may deliver by e-mail all documents relating to the ESPP and</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my participation in it (including without limitation, prospectuses required by the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U.S. Securities and Exchange Commission), and all other documents that the Company is</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required to deliver to its security holders (including without limitation, annual reports</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and proxy statements). I agree that the Company may deliver these documents by posting</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them on a website maintained by the Company or by a third party under contract with the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Company. If the Company posts these documents on a website, it will notify me by 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mail. I understand that it is my responsibility to provide the Company with a current</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email address.</w:t>
            </w: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tcBorders>
          </w:tcPr>
          <w:p>
            <w:pPr>
              <w:spacing w:after="0"/>
              <w:rPr>
                <w:sz w:val="24"/>
                <w:szCs w:val="24"/>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rPr>
              <w:t>Signature:</w:t>
            </w:r>
          </w:p>
        </w:tc>
        <w:tc>
          <w:tcPr>
            <w:tcW w:w="5600" w:type="dxa"/>
            <w:vAlign w:val="bottom"/>
          </w:tcPr>
          <w:p>
            <w:pPr>
              <w:jc w:val="right"/>
              <w:ind w:right="2070"/>
              <w:spacing w:after="0"/>
              <w:rPr>
                <w:sz w:val="20"/>
                <w:szCs w:val="20"/>
                <w:color w:val="auto"/>
              </w:rPr>
            </w:pPr>
            <w:r>
              <w:rPr>
                <w:rFonts w:ascii="Arial" w:cs="Arial" w:eastAsia="Arial" w:hAnsi="Arial"/>
                <w:sz w:val="18"/>
                <w:szCs w:val="18"/>
                <w:color w:val="auto"/>
                <w:w w:val="92"/>
              </w:rPr>
              <w:t>_____________________________________</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tcBorders>
          </w:tcPr>
          <w:p>
            <w:pPr>
              <w:spacing w:after="0"/>
              <w:rPr>
                <w:sz w:val="24"/>
                <w:szCs w:val="24"/>
                <w:color w:val="auto"/>
              </w:rPr>
            </w:pPr>
          </w:p>
        </w:tc>
        <w:tc>
          <w:tcPr>
            <w:tcW w:w="9380" w:type="dxa"/>
            <w:vAlign w:val="bottom"/>
            <w:tcBorders>
              <w:right w:val="single" w:sz="8" w:color="auto"/>
            </w:tcBorders>
            <w:gridSpan w:val="3"/>
          </w:tcPr>
          <w:p>
            <w:pPr>
              <w:ind w:left="420"/>
              <w:spacing w:after="0"/>
              <w:rPr>
                <w:sz w:val="20"/>
                <w:szCs w:val="20"/>
                <w:color w:val="auto"/>
              </w:rPr>
            </w:pPr>
            <w:r>
              <w:rPr>
                <w:rFonts w:ascii="Arial" w:cs="Arial" w:eastAsia="Arial" w:hAnsi="Arial"/>
                <w:sz w:val="18"/>
                <w:szCs w:val="18"/>
                <w:color w:val="auto"/>
              </w:rPr>
              <w:t>Print Name: _____________________________________</w:t>
            </w: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tcBorders>
          </w:tcPr>
          <w:p>
            <w:pPr>
              <w:spacing w:after="0"/>
              <w:rPr>
                <w:sz w:val="24"/>
                <w:szCs w:val="24"/>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rPr>
              <w:t>Date:</w:t>
            </w:r>
          </w:p>
        </w:tc>
        <w:tc>
          <w:tcPr>
            <w:tcW w:w="5600" w:type="dxa"/>
            <w:vAlign w:val="bottom"/>
          </w:tcPr>
          <w:p>
            <w:pPr>
              <w:jc w:val="right"/>
              <w:ind w:right="2050"/>
              <w:spacing w:after="0"/>
              <w:rPr>
                <w:sz w:val="20"/>
                <w:szCs w:val="20"/>
                <w:color w:val="auto"/>
              </w:rPr>
            </w:pPr>
            <w:r>
              <w:rPr>
                <w:rFonts w:ascii="Arial" w:cs="Arial" w:eastAsia="Arial" w:hAnsi="Arial"/>
                <w:sz w:val="18"/>
                <w:szCs w:val="18"/>
                <w:color w:val="auto"/>
                <w:w w:val="92"/>
              </w:rPr>
              <w:t>_____________________________________</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6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2020;</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00" w:firstLine="656"/>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20" w:firstLine="656"/>
        <w:spacing w:after="0" w:line="291" w:lineRule="auto"/>
        <w:tabs>
          <w:tab w:leader="none" w:pos="13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160" w:firstLine="689"/>
        <w:spacing w:after="0" w:line="286" w:lineRule="auto"/>
        <w:tabs>
          <w:tab w:leader="none" w:pos="198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180" w:firstLine="689"/>
        <w:spacing w:after="0" w:line="263" w:lineRule="auto"/>
        <w:tabs>
          <w:tab w:leader="none" w:pos="19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40" w:firstLine="689"/>
        <w:spacing w:after="0" w:line="342" w:lineRule="auto"/>
        <w:tabs>
          <w:tab w:leader="none" w:pos="198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600" w:firstLine="689"/>
        <w:spacing w:after="0" w:line="263" w:lineRule="auto"/>
        <w:tabs>
          <w:tab w:leader="none" w:pos="19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40" w:firstLine="656"/>
        <w:spacing w:after="0" w:line="342" w:lineRule="auto"/>
        <w:tabs>
          <w:tab w:leader="none" w:pos="13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 w:firstLine="689"/>
        <w:spacing w:after="0" w:line="308" w:lineRule="auto"/>
        <w:tabs>
          <w:tab w:leader="none" w:pos="197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60" w:firstLine="689"/>
        <w:spacing w:after="0" w:line="277" w:lineRule="auto"/>
        <w:tabs>
          <w:tab w:leader="none" w:pos="19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5715</wp:posOffset>
            </wp:positionV>
            <wp:extent cx="3557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55790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2020;</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60" w:firstLine="656"/>
        <w:spacing w:after="0" w:line="308" w:lineRule="auto"/>
        <w:tabs>
          <w:tab w:leader="none" w:pos="13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80" w:firstLine="656"/>
        <w:spacing w:after="0" w:line="291" w:lineRule="auto"/>
        <w:tabs>
          <w:tab w:leader="none" w:pos="13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20" w:firstLine="734"/>
        <w:spacing w:after="0" w:line="263" w:lineRule="auto"/>
        <w:tabs>
          <w:tab w:leader="none" w:pos="21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firstLine="734"/>
        <w:spacing w:after="0" w:line="263" w:lineRule="auto"/>
        <w:tabs>
          <w:tab w:leader="none" w:pos="213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140" w:firstLine="734"/>
        <w:spacing w:after="0" w:line="342" w:lineRule="auto"/>
        <w:tabs>
          <w:tab w:leader="none" w:pos="212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600" w:firstLine="734"/>
        <w:spacing w:after="0" w:line="263" w:lineRule="auto"/>
        <w:tabs>
          <w:tab w:leader="none" w:pos="213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00" w:firstLine="656"/>
        <w:spacing w:after="0" w:line="342" w:lineRule="auto"/>
        <w:tabs>
          <w:tab w:leader="none" w:pos="13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0" w:firstLine="734"/>
        <w:spacing w:after="0" w:line="342" w:lineRule="auto"/>
        <w:tabs>
          <w:tab w:leader="none" w:pos="211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760" w:firstLine="734"/>
        <w:spacing w:after="0" w:line="277" w:lineRule="auto"/>
        <w:tabs>
          <w:tab w:leader="none" w:pos="21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5715</wp:posOffset>
            </wp:positionV>
            <wp:extent cx="3557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55790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5"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1960" w:right="80" w:hanging="656"/>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9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5" w:lineRule="exact"/>
        <w:rPr>
          <w:sz w:val="20"/>
          <w:szCs w:val="20"/>
          <w:color w:val="auto"/>
        </w:rPr>
      </w:pPr>
    </w:p>
    <w:p>
      <w:pPr>
        <w:ind w:left="1960" w:hanging="656"/>
        <w:spacing w:after="0"/>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1960" w:right="80" w:hanging="656"/>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upperLetter"/>
      <w:start w:val="6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upperLetter"/>
      <w:start w:val="6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2" Type="http://schemas.openxmlformats.org/officeDocument/2006/relationships/hyperlink" Target="http://www.sec.gov/Archives/edgar/data/1384101/000138410120000046/vcyt-8xk3x13x20exhibit.htm" TargetMode="External"/><Relationship Id="rId83" Type="http://schemas.openxmlformats.org/officeDocument/2006/relationships/hyperlink" Target="http://www.sec.gov/Archives/edgar/data/1384101/000138410120000083/a8-kannualmeetingexhi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2020-07-30T18:15:52Z</dcterms:created>
  <dcterms:modified xsi:type="dcterms:W3CDTF">2020-07-30T18:15:52Z</dcterms:modified>
</cp:coreProperties>
</file>