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ind w:left="0" w:right="0" w:firstLine="135"/>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pStyle w:val="TextBody"/>
        <w:bidi w:val="0"/>
        <w:spacing w:lineRule="auto" w:line="288" w:before="0" w:after="0"/>
        <w:ind w:left="0" w:right="0" w:firstLine="135"/>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283"/>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120"/>
        <w:ind w:left="0" w:right="0" w:firstLine="135"/>
        <w:jc w:val="center"/>
        <w:rPr/>
      </w:pPr>
      <w:r>
        <w:rPr>
          <w:rFonts w:ascii="Times New Roman;serif" w:hAnsi="Times New Roman;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Commission File Number 001-36156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03" w:type="dxa"/>
        <w:jc w:val="left"/>
        <w:tblInd w:w="0" w:type="dxa"/>
        <w:tblLayout w:type="fixed"/>
        <w:tblCellMar>
          <w:top w:w="28" w:type="dxa"/>
          <w:left w:w="28" w:type="dxa"/>
          <w:bottom w:w="28" w:type="dxa"/>
          <w:right w:w="28" w:type="dxa"/>
        </w:tblCellMar>
      </w:tblPr>
      <w:tblGrid>
        <w:gridCol w:w="319"/>
        <w:gridCol w:w="280"/>
        <w:gridCol w:w="280"/>
        <w:gridCol w:w="280"/>
        <w:gridCol w:w="280"/>
        <w:gridCol w:w="280"/>
        <w:gridCol w:w="280"/>
        <w:gridCol w:w="280"/>
        <w:gridCol w:w="295"/>
        <w:gridCol w:w="109"/>
        <w:gridCol w:w="109"/>
        <w:gridCol w:w="109"/>
        <w:gridCol w:w="109"/>
        <w:gridCol w:w="109"/>
        <w:gridCol w:w="109"/>
        <w:gridCol w:w="109"/>
        <w:gridCol w:w="109"/>
        <w:gridCol w:w="109"/>
        <w:gridCol w:w="175"/>
        <w:gridCol w:w="175"/>
        <w:gridCol w:w="175"/>
        <w:gridCol w:w="175"/>
        <w:gridCol w:w="175"/>
        <w:gridCol w:w="175"/>
        <w:gridCol w:w="175"/>
        <w:gridCol w:w="175"/>
        <w:gridCol w:w="248"/>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6000 Shoreline Court, Suite 300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South San Francisco, California 94080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(650)  243-6300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ind w:left="0" w:right="0" w:firstLine="135"/>
        <w:jc w:val="center"/>
        <w:rPr>
          <w:color w:val="000000"/>
        </w:rPr>
      </w:pPr>
      <w:r>
        <w:rPr>
          <w:color w:val="000000"/>
        </w:rPr>
        <w:t> </w:t>
      </w:r>
    </w:p>
    <w:tbl>
      <w:tblPr>
        <w:tblW w:w="9813" w:type="dxa"/>
        <w:jc w:val="left"/>
        <w:tblInd w:w="0" w:type="dxa"/>
        <w:tblLayout w:type="fixed"/>
        <w:tblCellMar>
          <w:top w:w="28" w:type="dxa"/>
          <w:left w:w="28" w:type="dxa"/>
          <w:bottom w:w="28" w:type="dxa"/>
          <w:right w:w="28" w:type="dxa"/>
        </w:tblCellMar>
      </w:tblPr>
      <w:tblGrid>
        <w:gridCol w:w="453"/>
        <w:gridCol w:w="399"/>
        <w:gridCol w:w="399"/>
        <w:gridCol w:w="399"/>
        <w:gridCol w:w="399"/>
        <w:gridCol w:w="399"/>
        <w:gridCol w:w="399"/>
        <w:gridCol w:w="399"/>
        <w:gridCol w:w="399"/>
        <w:gridCol w:w="109"/>
        <w:gridCol w:w="109"/>
        <w:gridCol w:w="109"/>
        <w:gridCol w:w="188"/>
        <w:gridCol w:w="188"/>
        <w:gridCol w:w="188"/>
        <w:gridCol w:w="188"/>
        <w:gridCol w:w="188"/>
        <w:gridCol w:w="188"/>
        <w:gridCol w:w="188"/>
        <w:gridCol w:w="188"/>
        <w:gridCol w:w="188"/>
        <w:gridCol w:w="109"/>
        <w:gridCol w:w="109"/>
        <w:gridCol w:w="109"/>
        <w:gridCol w:w="406"/>
        <w:gridCol w:w="406"/>
        <w:gridCol w:w="406"/>
        <w:gridCol w:w="406"/>
        <w:gridCol w:w="406"/>
        <w:gridCol w:w="406"/>
        <w:gridCol w:w="406"/>
        <w:gridCol w:w="406"/>
        <w:gridCol w:w="574"/>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6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46"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p>
    <w:p>
      <w:pPr>
        <w:pStyle w:val="TextBody"/>
        <w:bidi w:val="0"/>
        <w:spacing w:lineRule="auto" w:line="288" w:before="0" w:after="0"/>
        <w:ind w:left="0" w:right="0" w:firstLine="405"/>
        <w:jc w:val="left"/>
        <w:rPr/>
      </w:pP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As of July 27, 2026, there were 80,390,731 shares of common stock, par value $0.001 per share, outstanding.</w:t>
      </w:r>
    </w:p>
    <w:p>
      <w:pPr>
        <w:pStyle w:val="TextBody"/>
        <w:bidi w:val="0"/>
        <w:spacing w:before="0" w:after="0"/>
        <w:ind w:left="0" w:right="0" w:firstLine="40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ind w:left="0" w:right="0" w:firstLine="135"/>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370"/>
        <w:gridCol w:w="2961"/>
        <w:gridCol w:w="2975"/>
        <w:gridCol w:w="109"/>
        <w:gridCol w:w="109"/>
        <w:gridCol w:w="109"/>
        <w:gridCol w:w="167"/>
        <w:gridCol w:w="167"/>
        <w:gridCol w:w="238"/>
      </w:tblGrid>
      <w:tr>
        <w:trPr/>
        <w:tc>
          <w:tcPr>
            <w:tcW w:w="337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br/>
              <w:t>No.</w:t>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0">
              <w:r>
                <w:rPr>
                  <w:rStyle w:val="InternetLink"/>
                  <w:rFonts w:ascii="Times New Roman;serif" w:hAnsi="Times New Roman;serif"/>
                  <w:b/>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3">
              <w:r>
                <w:rPr>
                  <w:rStyle w:val="InternetLink"/>
                  <w:rFonts w:ascii="Times New Roman;serif" w:hAnsi="Times New Roman;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3">
              <w:r>
                <w:rPr>
                  <w:rStyle w:val="InternetLink"/>
                  <w:rFonts w:ascii="Times New Roman;serif" w:hAnsi="Times New Roman;serif"/>
                  <w:b w:val="false"/>
                  <w:color w:val="0000FF"/>
                  <w:sz w:val="20"/>
                  <w:u w:val="single"/>
                </w:rPr>
                <w:t>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6">
              <w:r>
                <w:rPr>
                  <w:rStyle w:val="InternetLink"/>
                  <w:rFonts w:ascii="Times New Roman;serif" w:hAnsi="Times New Roman;serif"/>
                  <w:b w:val="false"/>
                  <w:color w:val="000080"/>
                  <w:sz w:val="20"/>
                  <w:u w:val="single"/>
                </w:rPr>
                <w:t xml:space="preserve">Condensed Consolidated Balance Sheets as of </w:t>
              </w:r>
            </w:hyperlink>
            <w:hyperlink w:anchor="i22bd0e762c0f4d138426bd74d8cd0553_16">
              <w:r>
                <w:rPr>
                  <w:rStyle w:val="InternetLink"/>
                  <w:rFonts w:ascii="Times New Roman;serif" w:hAnsi="Times New Roman;serif"/>
                  <w:b w:val="false"/>
                  <w:color w:val="000080"/>
                  <w:sz w:val="20"/>
                  <w:u w:val="single"/>
                </w:rPr>
                <w:t>June</w:t>
              </w:r>
            </w:hyperlink>
            <w:hyperlink w:anchor="i22bd0e762c0f4d138426bd74d8cd0553_16">
              <w:r>
                <w:rPr>
                  <w:rStyle w:val="InternetLink"/>
                  <w:rFonts w:ascii="Times New Roman;serif" w:hAnsi="Times New Roman;serif"/>
                  <w:b w:val="false"/>
                  <w:color w:val="000080"/>
                  <w:sz w:val="20"/>
                  <w:u w:val="single"/>
                </w:rPr>
                <w:t xml:space="preserve"> 3</w:t>
              </w:r>
            </w:hyperlink>
            <w:hyperlink w:anchor="i22bd0e762c0f4d138426bd74d8cd0553_16">
              <w:r>
                <w:rPr>
                  <w:rStyle w:val="InternetLink"/>
                  <w:rFonts w:ascii="Times New Roman;serif" w:hAnsi="Times New Roman;serif"/>
                  <w:b w:val="false"/>
                  <w:color w:val="000080"/>
                  <w:sz w:val="20"/>
                  <w:u w:val="single"/>
                </w:rPr>
                <w:t>0</w:t>
              </w:r>
            </w:hyperlink>
            <w:hyperlink w:anchor="i22bd0e762c0f4d138426bd74d8cd0553_16">
              <w:r>
                <w:rPr>
                  <w:rStyle w:val="InternetLink"/>
                  <w:rFonts w:ascii="Times New Roman;serif" w:hAnsi="Times New Roman;serif"/>
                  <w:b w:val="false"/>
                  <w:color w:val="000080"/>
                  <w:sz w:val="20"/>
                  <w:u w:val="single"/>
                </w:rPr>
                <w:t>,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6">
              <w:r>
                <w:rPr>
                  <w:rStyle w:val="InternetLink"/>
                  <w:rFonts w:ascii="Times New Roman;serif" w:hAnsi="Times New Roman;serif"/>
                  <w:b w:val="false"/>
                  <w:color w:val="0000FF"/>
                  <w:sz w:val="20"/>
                  <w:u w:val="single"/>
                </w:rPr>
                <w:t>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9">
              <w:r>
                <w:rPr>
                  <w:rStyle w:val="InternetLink"/>
                  <w:rFonts w:ascii="Times New Roman;serif" w:hAnsi="Times New Roman;serif"/>
                  <w:b w:val="false"/>
                  <w:color w:val="000080"/>
                  <w:sz w:val="20"/>
                  <w:u w:val="single"/>
                </w:rPr>
                <w:t>Condensed Consolidated Statements of Operations for the Three</w:t>
              </w:r>
            </w:hyperlink>
            <w:hyperlink w:anchor="i22bd0e762c0f4d138426bd74d8cd0553_19">
              <w:r>
                <w:rPr>
                  <w:rStyle w:val="InternetLink"/>
                  <w:rFonts w:ascii="Times New Roman;serif" w:hAnsi="Times New Roman;serif"/>
                  <w:b w:val="false"/>
                  <w:color w:val="000080"/>
                  <w:sz w:val="20"/>
                  <w:u w:val="single"/>
                </w:rPr>
                <w:t xml:space="preserve"> and </w:t>
              </w:r>
            </w:hyperlink>
            <w:hyperlink w:anchor="i22bd0e762c0f4d138426bd74d8cd0553_19">
              <w:r>
                <w:rPr>
                  <w:rStyle w:val="InternetLink"/>
                  <w:rFonts w:ascii="Times New Roman;serif" w:hAnsi="Times New Roman;serif"/>
                  <w:b w:val="false"/>
                  <w:color w:val="000080"/>
                  <w:sz w:val="20"/>
                  <w:u w:val="single"/>
                </w:rPr>
                <w:t>Six</w:t>
              </w:r>
            </w:hyperlink>
            <w:hyperlink w:anchor="i22bd0e762c0f4d138426bd74d8cd0553_19">
              <w:r>
                <w:rPr>
                  <w:rStyle w:val="InternetLink"/>
                  <w:rFonts w:ascii="Times New Roman;serif" w:hAnsi="Times New Roman;serif"/>
                  <w:b w:val="false"/>
                  <w:color w:val="000080"/>
                  <w:sz w:val="20"/>
                  <w:u w:val="single"/>
                </w:rPr>
                <w:t xml:space="preserve"> Month Periods Ended </w:t>
              </w:r>
            </w:hyperlink>
            <w:hyperlink w:anchor="i22bd0e762c0f4d138426bd74d8cd0553_19">
              <w:r>
                <w:rPr>
                  <w:rStyle w:val="InternetLink"/>
                  <w:rFonts w:ascii="Times New Roman;serif" w:hAnsi="Times New Roman;serif"/>
                  <w:b w:val="false"/>
                  <w:color w:val="000080"/>
                  <w:sz w:val="20"/>
                  <w:u w:val="single"/>
                </w:rPr>
                <w:t>June</w:t>
              </w:r>
            </w:hyperlink>
            <w:hyperlink w:anchor="i22bd0e762c0f4d138426bd74d8cd0553_19">
              <w:r>
                <w:rPr>
                  <w:rStyle w:val="InternetLink"/>
                  <w:rFonts w:ascii="Times New Roman;serif" w:hAnsi="Times New Roman;serif"/>
                  <w:b w:val="false"/>
                  <w:color w:val="000080"/>
                  <w:sz w:val="20"/>
                  <w:u w:val="single"/>
                </w:rPr>
                <w:t xml:space="preserve"> 3</w:t>
              </w:r>
            </w:hyperlink>
            <w:hyperlink w:anchor="i22bd0e762c0f4d138426bd74d8cd0553_19">
              <w:r>
                <w:rPr>
                  <w:rStyle w:val="InternetLink"/>
                  <w:rFonts w:ascii="Times New Roman;serif" w:hAnsi="Times New Roman;serif"/>
                  <w:b w:val="false"/>
                  <w:color w:val="000080"/>
                  <w:sz w:val="20"/>
                  <w:u w:val="single"/>
                </w:rPr>
                <w:t>0</w:t>
              </w:r>
            </w:hyperlink>
            <w:hyperlink w:anchor="i22bd0e762c0f4d138426bd74d8cd0553_19">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9">
              <w:r>
                <w:rPr>
                  <w:rStyle w:val="InternetLink"/>
                  <w:rFonts w:ascii="Times New Roman;serif" w:hAnsi="Times New Roman;serif"/>
                  <w:b w:val="false"/>
                  <w:color w:val="0000FF"/>
                  <w:sz w:val="20"/>
                  <w:u w:val="single"/>
                </w:rPr>
                <w:t>2</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22">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22bd0e762c0f4d138426bd74d8cd0553_22">
              <w:r>
                <w:rPr>
                  <w:rStyle w:val="InternetLink"/>
                  <w:rFonts w:ascii="Times New Roman;serif" w:hAnsi="Times New Roman;serif"/>
                  <w:b w:val="false"/>
                  <w:color w:val="000080"/>
                  <w:sz w:val="20"/>
                  <w:u w:val="single"/>
                </w:rPr>
                <w:t xml:space="preserve">and Six </w:t>
              </w:r>
            </w:hyperlink>
            <w:hyperlink w:anchor="i22bd0e762c0f4d138426bd74d8cd0553_22">
              <w:r>
                <w:rPr>
                  <w:rStyle w:val="InternetLink"/>
                  <w:rFonts w:ascii="Times New Roman;serif" w:hAnsi="Times New Roman;serif"/>
                  <w:b w:val="false"/>
                  <w:color w:val="000080"/>
                  <w:sz w:val="20"/>
                  <w:u w:val="single"/>
                </w:rPr>
                <w:t xml:space="preserve">Month Periods Ended </w:t>
              </w:r>
            </w:hyperlink>
            <w:hyperlink w:anchor="i22bd0e762c0f4d138426bd74d8cd0553_22">
              <w:r>
                <w:rPr>
                  <w:rStyle w:val="InternetLink"/>
                  <w:rFonts w:ascii="Times New Roman;serif" w:hAnsi="Times New Roman;serif"/>
                  <w:b w:val="false"/>
                  <w:color w:val="000080"/>
                  <w:sz w:val="20"/>
                  <w:u w:val="single"/>
                </w:rPr>
                <w:t>June</w:t>
              </w:r>
            </w:hyperlink>
            <w:hyperlink w:anchor="i22bd0e762c0f4d138426bd74d8cd0553_22">
              <w:r>
                <w:rPr>
                  <w:rStyle w:val="InternetLink"/>
                  <w:rFonts w:ascii="Times New Roman;serif" w:hAnsi="Times New Roman;serif"/>
                  <w:b w:val="false"/>
                  <w:color w:val="000080"/>
                  <w:sz w:val="20"/>
                  <w:u w:val="single"/>
                </w:rPr>
                <w:t xml:space="preserve"> 3</w:t>
              </w:r>
            </w:hyperlink>
            <w:hyperlink w:anchor="i22bd0e762c0f4d138426bd74d8cd0553_22">
              <w:r>
                <w:rPr>
                  <w:rStyle w:val="InternetLink"/>
                  <w:rFonts w:ascii="Times New Roman;serif" w:hAnsi="Times New Roman;serif"/>
                  <w:b w:val="false"/>
                  <w:color w:val="000080"/>
                  <w:sz w:val="20"/>
                  <w:u w:val="single"/>
                </w:rPr>
                <w:t>0</w:t>
              </w:r>
            </w:hyperlink>
            <w:hyperlink w:anchor="i22bd0e762c0f4d138426bd74d8cd0553_22">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22">
              <w:r>
                <w:rPr>
                  <w:rStyle w:val="InternetLink"/>
                  <w:rFonts w:ascii="Times New Roman;serif" w:hAnsi="Times New Roman;serif"/>
                  <w:b w:val="false"/>
                  <w:color w:val="0000FF"/>
                  <w:sz w:val="20"/>
                  <w:u w:val="single"/>
                </w:rPr>
                <w:t>3</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25">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22bd0e762c0f4d138426bd74d8cd0553_25">
              <w:r>
                <w:rPr>
                  <w:rStyle w:val="InternetLink"/>
                  <w:rFonts w:ascii="Times New Roman;serif" w:hAnsi="Times New Roman;serif"/>
                  <w:b w:val="false"/>
                  <w:color w:val="000080"/>
                  <w:sz w:val="20"/>
                  <w:u w:val="single"/>
                </w:rPr>
                <w:t xml:space="preserve">and Six </w:t>
              </w:r>
            </w:hyperlink>
            <w:hyperlink w:anchor="i22bd0e762c0f4d138426bd74d8cd0553_25">
              <w:r>
                <w:rPr>
                  <w:rStyle w:val="InternetLink"/>
                  <w:rFonts w:ascii="Times New Roman;serif" w:hAnsi="Times New Roman;serif"/>
                  <w:b w:val="false"/>
                  <w:color w:val="000080"/>
                  <w:sz w:val="20"/>
                  <w:u w:val="single"/>
                </w:rPr>
                <w:t xml:space="preserve">Month Periods Ended </w:t>
              </w:r>
            </w:hyperlink>
            <w:hyperlink w:anchor="i22bd0e762c0f4d138426bd74d8cd0553_25">
              <w:r>
                <w:rPr>
                  <w:rStyle w:val="InternetLink"/>
                  <w:rFonts w:ascii="Times New Roman;serif" w:hAnsi="Times New Roman;serif"/>
                  <w:b w:val="false"/>
                  <w:color w:val="000080"/>
                  <w:sz w:val="20"/>
                  <w:u w:val="single"/>
                </w:rPr>
                <w:t>June</w:t>
              </w:r>
            </w:hyperlink>
            <w:hyperlink w:anchor="i22bd0e762c0f4d138426bd74d8cd0553_25">
              <w:r>
                <w:rPr>
                  <w:rStyle w:val="InternetLink"/>
                  <w:rFonts w:ascii="Times New Roman;serif" w:hAnsi="Times New Roman;serif"/>
                  <w:b w:val="false"/>
                  <w:color w:val="000080"/>
                  <w:sz w:val="20"/>
                  <w:u w:val="single"/>
                </w:rPr>
                <w:t xml:space="preserve"> 3</w:t>
              </w:r>
            </w:hyperlink>
            <w:hyperlink w:anchor="i22bd0e762c0f4d138426bd74d8cd0553_25">
              <w:r>
                <w:rPr>
                  <w:rStyle w:val="InternetLink"/>
                  <w:rFonts w:ascii="Times New Roman;serif" w:hAnsi="Times New Roman;serif"/>
                  <w:b w:val="false"/>
                  <w:color w:val="000080"/>
                  <w:sz w:val="20"/>
                  <w:u w:val="single"/>
                </w:rPr>
                <w:t>0</w:t>
              </w:r>
            </w:hyperlink>
            <w:hyperlink w:anchor="i22bd0e762c0f4d138426bd74d8cd0553_25">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25">
              <w:r>
                <w:rPr>
                  <w:rStyle w:val="InternetLink"/>
                  <w:rFonts w:ascii="Times New Roman;serif" w:hAnsi="Times New Roman;serif"/>
                  <w:b w:val="false"/>
                  <w:color w:val="0000FF"/>
                  <w:sz w:val="20"/>
                  <w:u w:val="single"/>
                </w:rPr>
                <w:t>4</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28">
              <w:r>
                <w:rPr>
                  <w:rStyle w:val="InternetLink"/>
                  <w:rFonts w:ascii="Times New Roman;serif" w:hAnsi="Times New Roman;serif"/>
                  <w:b w:val="false"/>
                  <w:color w:val="000080"/>
                  <w:sz w:val="20"/>
                  <w:u w:val="single"/>
                </w:rPr>
                <w:t xml:space="preserve">Condensed Consolidated Statements of Cash Flows for the </w:t>
              </w:r>
            </w:hyperlink>
            <w:hyperlink w:anchor="i22bd0e762c0f4d138426bd74d8cd0553_28">
              <w:r>
                <w:rPr>
                  <w:rStyle w:val="InternetLink"/>
                  <w:rFonts w:ascii="Times New Roman;serif" w:hAnsi="Times New Roman;serif"/>
                  <w:b w:val="false"/>
                  <w:color w:val="000080"/>
                  <w:sz w:val="20"/>
                  <w:u w:val="single"/>
                </w:rPr>
                <w:t>Six</w:t>
              </w:r>
            </w:hyperlink>
            <w:hyperlink w:anchor="i22bd0e762c0f4d138426bd74d8cd0553_28">
              <w:r>
                <w:rPr>
                  <w:rStyle w:val="InternetLink"/>
                  <w:rFonts w:ascii="Times New Roman;serif" w:hAnsi="Times New Roman;serif"/>
                  <w:b w:val="false"/>
                  <w:color w:val="000080"/>
                  <w:sz w:val="20"/>
                  <w:u w:val="single"/>
                </w:rPr>
                <w:t xml:space="preserve"> Month Periods Ended </w:t>
              </w:r>
            </w:hyperlink>
            <w:hyperlink w:anchor="i22bd0e762c0f4d138426bd74d8cd0553_28">
              <w:r>
                <w:rPr>
                  <w:rStyle w:val="InternetLink"/>
                  <w:rFonts w:ascii="Times New Roman;serif" w:hAnsi="Times New Roman;serif"/>
                  <w:b w:val="false"/>
                  <w:color w:val="000080"/>
                  <w:sz w:val="20"/>
                  <w:u w:val="single"/>
                </w:rPr>
                <w:t>June</w:t>
              </w:r>
            </w:hyperlink>
            <w:hyperlink w:anchor="i22bd0e762c0f4d138426bd74d8cd0553_28">
              <w:r>
                <w:rPr>
                  <w:rStyle w:val="InternetLink"/>
                  <w:rFonts w:ascii="Times New Roman;serif" w:hAnsi="Times New Roman;serif"/>
                  <w:b w:val="false"/>
                  <w:color w:val="000080"/>
                  <w:sz w:val="20"/>
                  <w:u w:val="single"/>
                </w:rPr>
                <w:t xml:space="preserve"> 3</w:t>
              </w:r>
            </w:hyperlink>
            <w:hyperlink w:anchor="i22bd0e762c0f4d138426bd74d8cd0553_28">
              <w:r>
                <w:rPr>
                  <w:rStyle w:val="InternetLink"/>
                  <w:rFonts w:ascii="Times New Roman;serif" w:hAnsi="Times New Roman;serif"/>
                  <w:b w:val="false"/>
                  <w:color w:val="000080"/>
                  <w:sz w:val="20"/>
                  <w:u w:val="single"/>
                </w:rPr>
                <w:t>0</w:t>
              </w:r>
            </w:hyperlink>
            <w:hyperlink w:anchor="i22bd0e762c0f4d138426bd74d8cd0553_28">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28">
              <w:r>
                <w:rPr>
                  <w:rStyle w:val="InternetLink"/>
                  <w:rFonts w:ascii="Times New Roman;serif" w:hAnsi="Times New Roman;serif"/>
                  <w:b w:val="false"/>
                  <w:color w:val="0000FF"/>
                  <w:sz w:val="20"/>
                  <w:u w:val="single"/>
                </w:rPr>
                <w:t>6</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31">
              <w:r>
                <w:rPr>
                  <w:rStyle w:val="InternetLink"/>
                  <w:rFonts w:ascii="Times New Roman;serif" w:hAnsi="Times New Roman;serif"/>
                  <w:b w:val="false"/>
                  <w:color w:val="0000FF"/>
                  <w:sz w:val="20"/>
                  <w:u w:val="single"/>
                </w:rPr>
                <w:t>7</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70">
              <w:r>
                <w:rPr>
                  <w:rStyle w:val="InternetLink"/>
                  <w:rFonts w:ascii="Times New Roman;serif" w:hAnsi="Times New Roman;serif"/>
                  <w:b w:val="false"/>
                  <w:color w:val="0000FF"/>
                  <w:sz w:val="20"/>
                  <w:u w:val="single"/>
                </w:rPr>
                <w:t>20</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06">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06">
              <w:r>
                <w:rPr>
                  <w:rStyle w:val="InternetLink"/>
                  <w:rFonts w:ascii="Times New Roman;serif" w:hAnsi="Times New Roman;serif"/>
                  <w:b w:val="false"/>
                  <w:color w:val="0000FF"/>
                  <w:sz w:val="20"/>
                  <w:u w:val="single"/>
                </w:rPr>
                <w:t>30</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09">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09">
              <w:r>
                <w:rPr>
                  <w:rStyle w:val="InternetLink"/>
                  <w:rFonts w:ascii="Times New Roman;serif" w:hAnsi="Times New Roman;serif"/>
                  <w:b w:val="false"/>
                  <w:color w:val="0000FF"/>
                  <w:sz w:val="20"/>
                  <w:u w:val="single"/>
                </w:rPr>
                <w:t>30</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12">
              <w:r>
                <w:rPr>
                  <w:rStyle w:val="InternetLink"/>
                  <w:rFonts w:ascii="Times New Roman;serif" w:hAnsi="Times New Roman;serif"/>
                  <w:b/>
                  <w:color w:val="0000FF"/>
                  <w:sz w:val="20"/>
                  <w:u w:val="single"/>
                </w:rPr>
                <w:t>PART II.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15">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15">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18">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18">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21">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21">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24">
              <w:r>
                <w:rPr>
                  <w:rStyle w:val="InternetLink"/>
                  <w:rFonts w:ascii="Times New Roman;serif" w:hAnsi="Times New Roman;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24">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27">
              <w:r>
                <w:rPr>
                  <w:rStyle w:val="InternetLink"/>
                  <w:rFonts w:ascii="Times New Roman;serif" w:hAnsi="Times New Roman;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27">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30">
              <w:r>
                <w:rPr>
                  <w:rStyle w:val="InternetLink"/>
                  <w:rFonts w:ascii="Times New Roman;serif" w:hAnsi="Times New Roman;serif"/>
                  <w:b w:val="false"/>
                  <w:color w:val="0000FF"/>
                  <w:sz w:val="20"/>
                  <w:u w:val="single"/>
                </w:rPr>
                <w:t xml:space="preserve">Item 5. Other Information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30">
              <w:r>
                <w:rPr>
                  <w:rStyle w:val="InternetLink"/>
                  <w:rFonts w:ascii="Times New Roman;serif" w:hAnsi="Times New Roman;serif"/>
                  <w:b w:val="false"/>
                  <w:color w:val="0000FF"/>
                  <w:sz w:val="20"/>
                  <w:u w:val="single"/>
                </w:rPr>
                <w:t>31</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36">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36">
              <w:r>
                <w:rPr>
                  <w:rStyle w:val="InternetLink"/>
                  <w:rFonts w:ascii="Times New Roman;serif" w:hAnsi="Times New Roman;serif"/>
                  <w:b w:val="false"/>
                  <w:color w:val="0000FF"/>
                  <w:sz w:val="20"/>
                  <w:u w:val="single"/>
                </w:rPr>
                <w:t>32</w:t>
              </w:r>
            </w:hyperlink>
          </w:p>
        </w:tc>
      </w:tr>
      <w:tr>
        <w:trPr/>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d0e762c0f4d138426bd74d8cd0553_139">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d0e762c0f4d138426bd74d8cd0553_139">
              <w:r>
                <w:rPr>
                  <w:rStyle w:val="InternetLink"/>
                  <w:rFonts w:ascii="Times New Roman;serif" w:hAnsi="Times New Roman;serif"/>
                  <w:b w:val="false"/>
                  <w:color w:val="0000FF"/>
                  <w:sz w:val="20"/>
                  <w:u w:val="single"/>
                </w:rPr>
                <w:t>33</w:t>
              </w:r>
            </w:hyperlink>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“ongoing,” “anticipate,” “intend,” “could,” “would,” “project,” “plan,” “expect” or the negative of these terms or similar expressions that convey uncertainty of future events or outcomes, although not all forward-looking statements contain these words. These are statements that relate to future events and include, but are not limited to, statements about:</w:t>
      </w:r>
    </w:p>
    <w:p>
      <w:pPr>
        <w:pStyle w:val="TextBody"/>
        <w:bidi w:val="0"/>
        <w:spacing w:before="0" w:after="0"/>
        <w:jc w:val="left"/>
        <w:rPr/>
      </w:pPr>
      <w:r>
        <w:rPr/>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the factors that may impact our financial results;</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expectations regarding total revenue and total test volume;</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expectations with respect to our future research and development, general and administrative and selling and marketing expenses and the anticipated uses of our funds;</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the impact of macroeconomic conditions, including inflation, volatile interest rates and foreign exchange fluctuations; geopolitical developments, including regional and global conflicts, such as the ongoing conflict in the Middle East and the war in Ukraine; and government actions, including evolving policies and legislation, tariffs, energy, trade and supply chain disruptions, and market volatility resulting from the above on our business;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expectations regarding the launch of the TrueMRD platform and the addition of minimal residual detection capabilities to our diagnostics platform;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expectations regarding the timing and success of our transition to offering more of our tests as in vitro diagnostic, or IVD, tests on multiple platforms worldwide;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ability to continue to receive quality reagents and other raw materials from certain single-source suppliers;</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ability to develop and launch tests, and enter into supply agreements, with manufacturers of alternative systems;</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expectations regarding our partnerships and agreements;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expectations regarding capital expenditures, our anticipated cash needs and our estimates regarding our capital requirements and profitability;</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business strategy and our ability to execute on our strategy;</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ability to obtain and maintain Medicare, other government payer, and other commercial third-party payer reimbursement at acceptable levels and our expectations regarding the timing of reimbursement and changes or implementation of government regulations or reimbursement policies;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expectations with regard to the estimated number of patients eligible for our tests and the attributes and potential benefits of our tests and any future tests we may develop to patients, physicians, and payers;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 xml:space="preserve">our expectations regarding our ability to drive demand for and reimbursement of our tests; </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the impact of government laws and regulations, policies, guidance agency interpretations and judicial decisions; and</w:t>
      </w:r>
    </w:p>
    <w:p>
      <w:pPr>
        <w:pStyle w:val="TextBody"/>
        <w:bidi w:val="0"/>
        <w:spacing w:lineRule="auto" w:line="264" w:before="0" w:after="60"/>
        <w:ind w:left="0" w:right="0" w:hanging="360"/>
        <w:jc w:val="both"/>
        <w:rPr/>
      </w:pPr>
      <w:r>
        <w:rPr>
          <w:color w:val="000000"/>
        </w:rPr>
        <w:t>•</w:t>
      </w:r>
      <w:r>
        <w:rPr>
          <w:rFonts w:ascii="Times New Roman;serif" w:hAnsi="Times New Roman;serif"/>
          <w:b w:val="false"/>
          <w:color w:val="000000"/>
          <w:sz w:val="20"/>
        </w:rPr>
        <w:t>our beliefs in our competitive position.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 Item 1A of our Annual Report on Form 10-K for the year ended December 31, 2025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ind w:left="0" w:right="0" w:firstLine="1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35"/>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Statements-(Unaudited)</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35"/>
        <w:jc w:val="center"/>
        <w:rPr/>
      </w:pPr>
      <w:r>
        <w:rPr>
          <w:rFonts w:ascii="Times New Roman;serif" w:hAnsi="Times New Roman;serif"/>
          <w:b/>
          <w:color w:val="000000"/>
          <w:sz w:val="20"/>
        </w:rPr>
        <w:t>VERACYTE, INC.</w:t>
      </w:r>
      <w:r>
        <w:rPr>
          <w:color w:val="000000"/>
        </w:rPr>
        <w:t> </w:t>
      </w:r>
    </w:p>
    <w:p>
      <w:pPr>
        <w:pStyle w:val="TextBody"/>
        <w:bidi w:val="0"/>
        <w:spacing w:lineRule="auto" w:line="288" w:before="0" w:after="0"/>
        <w:ind w:left="0" w:right="0" w:firstLine="135"/>
        <w:jc w:val="center"/>
        <w:rPr/>
      </w:pPr>
      <w:r>
        <w:rPr>
          <w:rFonts w:ascii="Times New Roman;serif" w:hAnsi="Times New Roman;serif"/>
          <w:b/>
          <w:color w:val="000000"/>
          <w:sz w:val="20"/>
        </w:rPr>
        <w:t>Condensed Consolidated Balance Sheets</w:t>
      </w: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ind w:left="0" w:right="0" w:firstLine="135"/>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62"/>
        <w:gridCol w:w="2224"/>
        <w:gridCol w:w="2208"/>
        <w:gridCol w:w="196"/>
        <w:gridCol w:w="871"/>
        <w:gridCol w:w="109"/>
        <w:gridCol w:w="109"/>
        <w:gridCol w:w="109"/>
        <w:gridCol w:w="109"/>
        <w:gridCol w:w="225"/>
        <w:gridCol w:w="1003"/>
        <w:gridCol w:w="180"/>
      </w:tblGrid>
      <w:tr>
        <w:trPr/>
        <w:tc>
          <w:tcPr>
            <w:tcW w:w="2862"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488,376 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96,443 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no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125,000,000 shares authorized, 80,363,927 and 79,359,005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1,406,019 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(Unaudited)</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(In thousands, except share and per share amounts)</w:t>
      </w:r>
    </w:p>
    <w:p>
      <w:pPr>
        <w:pStyle w:val="TextBody"/>
        <w:bidi w:val="0"/>
        <w:spacing w:before="0" w:after="0"/>
        <w:jc w:val="left"/>
        <w:rPr/>
      </w:pPr>
      <w:r>
        <w:rPr/>
      </w:r>
    </w:p>
    <w:tbl>
      <w:tblPr>
        <w:tblW w:w="9600" w:type="dxa"/>
        <w:jc w:val="center"/>
        <w:tblInd w:w="0" w:type="dxa"/>
        <w:tblLayout w:type="fixed"/>
        <w:tblCellMar>
          <w:top w:w="28" w:type="dxa"/>
          <w:left w:w="28" w:type="dxa"/>
          <w:bottom w:w="28" w:type="dxa"/>
          <w:right w:w="28" w:type="dxa"/>
        </w:tblCellMar>
      </w:tblPr>
      <w:tblGrid>
        <w:gridCol w:w="1549"/>
        <w:gridCol w:w="1362"/>
        <w:gridCol w:w="1378"/>
        <w:gridCol w:w="202"/>
        <w:gridCol w:w="759"/>
        <w:gridCol w:w="110"/>
        <w:gridCol w:w="110"/>
        <w:gridCol w:w="110"/>
        <w:gridCol w:w="110"/>
        <w:gridCol w:w="202"/>
        <w:gridCol w:w="759"/>
        <w:gridCol w:w="110"/>
        <w:gridCol w:w="109"/>
        <w:gridCol w:w="109"/>
        <w:gridCol w:w="109"/>
        <w:gridCol w:w="202"/>
        <w:gridCol w:w="759"/>
        <w:gridCol w:w="109"/>
        <w:gridCol w:w="109"/>
        <w:gridCol w:w="109"/>
        <w:gridCol w:w="109"/>
        <w:gridCol w:w="202"/>
        <w:gridCol w:w="759"/>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Testing revenue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Biopharmaceutical and other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testing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biopharmaceutical and other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operating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to compute earnings (loss) per common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79,972,389 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78,391,502 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82,059,442 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78,391,502 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81,753,292 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79,905,121 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Condensed Consolidated Statements of Comprehensive Income</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(Unaudited)</w:t>
      </w:r>
    </w:p>
    <w:p>
      <w:pPr>
        <w:pStyle w:val="TextBody"/>
        <w:bidi w:val="0"/>
        <w:spacing w:lineRule="auto" w:line="288" w:before="0" w:after="0"/>
        <w:ind w:left="0" w:right="0" w:firstLine="135"/>
        <w:jc w:val="center"/>
        <w:rPr/>
      </w:pPr>
      <w:r>
        <w:rPr>
          <w:color w:val="000000"/>
        </w:rPr>
        <w:t> </w:t>
      </w:r>
      <w:r>
        <w:rPr>
          <w:rFonts w:ascii="Times New Roman;serif" w:hAnsi="Times New Roman;serif"/>
          <w:b/>
          <w:color w:val="000000"/>
          <w:sz w:val="20"/>
        </w:rPr>
        <w:t>(In thousands)</w:t>
      </w:r>
    </w:p>
    <w:p>
      <w:pPr>
        <w:pStyle w:val="TextBody"/>
        <w:bidi w:val="0"/>
        <w:spacing w:before="0" w:after="0"/>
        <w:jc w:val="left"/>
        <w:rPr/>
      </w:pPr>
      <w:r>
        <w:rPr/>
      </w:r>
    </w:p>
    <w:tbl>
      <w:tblPr>
        <w:tblW w:w="8209" w:type="dxa"/>
        <w:jc w:val="center"/>
        <w:tblInd w:w="0" w:type="dxa"/>
        <w:tblLayout w:type="fixed"/>
        <w:tblCellMar>
          <w:top w:w="28" w:type="dxa"/>
          <w:left w:w="28" w:type="dxa"/>
          <w:bottom w:w="28" w:type="dxa"/>
          <w:right w:w="28" w:type="dxa"/>
        </w:tblCellMar>
      </w:tblPr>
      <w:tblGrid>
        <w:gridCol w:w="1143"/>
        <w:gridCol w:w="1008"/>
        <w:gridCol w:w="1014"/>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currency translation adjustments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135"/>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91"/>
        <w:gridCol w:w="460"/>
        <w:gridCol w:w="462"/>
        <w:gridCol w:w="323"/>
        <w:gridCol w:w="323"/>
        <w:gridCol w:w="211"/>
        <w:gridCol w:w="109"/>
        <w:gridCol w:w="109"/>
        <w:gridCol w:w="109"/>
        <w:gridCol w:w="231"/>
        <w:gridCol w:w="390"/>
        <w:gridCol w:w="130"/>
        <w:gridCol w:w="109"/>
        <w:gridCol w:w="109"/>
        <w:gridCol w:w="109"/>
        <w:gridCol w:w="196"/>
        <w:gridCol w:w="871"/>
        <w:gridCol w:w="109"/>
        <w:gridCol w:w="109"/>
        <w:gridCol w:w="109"/>
        <w:gridCol w:w="109"/>
        <w:gridCol w:w="220"/>
        <w:gridCol w:w="849"/>
        <w:gridCol w:w="124"/>
        <w:gridCol w:w="109"/>
        <w:gridCol w:w="109"/>
        <w:gridCol w:w="109"/>
        <w:gridCol w:w="347"/>
        <w:gridCol w:w="1013"/>
        <w:gridCol w:w="194"/>
        <w:gridCol w:w="109"/>
        <w:gridCol w:w="109"/>
        <w:gridCol w:w="109"/>
        <w:gridCol w:w="196"/>
        <w:gridCol w:w="871"/>
        <w:gridCol w:w="159"/>
      </w:tblGrid>
      <w:tr>
        <w:trPr/>
        <w:tc>
          <w:tcPr>
            <w:tcW w:w="8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(348,923)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(323,433)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1,388,403 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(323,433)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1,388,403 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1"/>
        <w:gridCol w:w="460"/>
        <w:gridCol w:w="462"/>
        <w:gridCol w:w="323"/>
        <w:gridCol w:w="323"/>
        <w:gridCol w:w="211"/>
        <w:gridCol w:w="109"/>
        <w:gridCol w:w="109"/>
        <w:gridCol w:w="109"/>
        <w:gridCol w:w="231"/>
        <w:gridCol w:w="390"/>
        <w:gridCol w:w="130"/>
        <w:gridCol w:w="109"/>
        <w:gridCol w:w="109"/>
        <w:gridCol w:w="109"/>
        <w:gridCol w:w="196"/>
        <w:gridCol w:w="871"/>
        <w:gridCol w:w="109"/>
        <w:gridCol w:w="109"/>
        <w:gridCol w:w="109"/>
        <w:gridCol w:w="109"/>
        <w:gridCol w:w="220"/>
        <w:gridCol w:w="849"/>
        <w:gridCol w:w="124"/>
        <w:gridCol w:w="109"/>
        <w:gridCol w:w="109"/>
        <w:gridCol w:w="109"/>
        <w:gridCol w:w="314"/>
        <w:gridCol w:w="1063"/>
        <w:gridCol w:w="177"/>
        <w:gridCol w:w="109"/>
        <w:gridCol w:w="109"/>
        <w:gridCol w:w="109"/>
        <w:gridCol w:w="196"/>
        <w:gridCol w:w="871"/>
        <w:gridCol w:w="159"/>
      </w:tblGrid>
      <w:tr>
        <w:trPr/>
        <w:tc>
          <w:tcPr>
            <w:tcW w:w="8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(436,936)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1,194,936 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(437,916)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1,175,966 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(437,916)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(11,959)</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1,221,057 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pPr>
      <w:r>
        <w:rPr>
          <w:rFonts w:ascii="Times New Roman;serif" w:hAnsi="Times New Roman;serif"/>
          <w:b/>
          <w:color w:val="000000"/>
          <w:sz w:val="20"/>
        </w:rPr>
        <w:t>VERACYTE, INC.</w:t>
      </w:r>
      <w:r>
        <w:rPr>
          <w:color w:val="000000"/>
        </w:rPr>
        <w:t xml:space="preserve">  </w:t>
      </w:r>
    </w:p>
    <w:p>
      <w:pPr>
        <w:pStyle w:val="TextBody"/>
        <w:bidi w:val="0"/>
        <w:spacing w:lineRule="auto" w:line="288" w:before="0" w:after="0"/>
        <w:ind w:left="0" w:right="0" w:firstLine="135"/>
        <w:jc w:val="center"/>
        <w:rPr/>
      </w:pPr>
      <w:r>
        <w:rPr>
          <w:rFonts w:ascii="Times New Roman;serif" w:hAnsi="Times New Roman;serif"/>
          <w:b/>
          <w:color w:val="000000"/>
          <w:sz w:val="20"/>
        </w:rPr>
        <w:t>Condensed Consolidated Statements of Cash Flows</w:t>
      </w:r>
      <w:r>
        <w:rPr>
          <w:color w:val="000000"/>
        </w:rPr>
        <w:t> </w:t>
      </w:r>
    </w:p>
    <w:p>
      <w:pPr>
        <w:pStyle w:val="TextBody"/>
        <w:bidi w:val="0"/>
        <w:spacing w:lineRule="auto" w:line="288" w:before="0" w:after="0"/>
        <w:ind w:left="0" w:right="0" w:firstLine="135"/>
        <w:jc w:val="center"/>
        <w:rPr/>
      </w:pPr>
      <w:r>
        <w:rPr>
          <w:rFonts w:ascii="Times New Roman;serif" w:hAnsi="Times New Roman;serif"/>
          <w:b/>
          <w:color w:val="000000"/>
          <w:sz w:val="20"/>
        </w:rPr>
        <w:t>(Unaudited)</w:t>
      </w: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w:t>
      </w:r>
    </w:p>
    <w:tbl>
      <w:tblPr>
        <w:tblW w:w="9114" w:type="dxa"/>
        <w:jc w:val="center"/>
        <w:tblInd w:w="0" w:type="dxa"/>
        <w:tblLayout w:type="fixed"/>
        <w:tblCellMar>
          <w:top w:w="28" w:type="dxa"/>
          <w:left w:w="28" w:type="dxa"/>
          <w:bottom w:w="28" w:type="dxa"/>
          <w:right w:w="28" w:type="dxa"/>
        </w:tblCellMar>
      </w:tblPr>
      <w:tblGrid>
        <w:gridCol w:w="2408"/>
        <w:gridCol w:w="2117"/>
        <w:gridCol w:w="2135"/>
        <w:gridCol w:w="196"/>
        <w:gridCol w:w="736"/>
        <w:gridCol w:w="109"/>
        <w:gridCol w:w="109"/>
        <w:gridCol w:w="109"/>
        <w:gridCol w:w="109"/>
        <w:gridCol w:w="196"/>
        <w:gridCol w:w="736"/>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Revaluation of acquisition-related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on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 and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maturity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loan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on vested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common stock options and employee stock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 of foreign currency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Supplementary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included in accounts payable and accrued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pPr>
      <w:r>
        <w:rPr>
          <w:rFonts w:ascii="Times New Roman;serif" w:hAnsi="Times New Roman;serif"/>
          <w:b/>
          <w:color w:val="000000"/>
          <w:sz w:val="16"/>
        </w:rPr>
        <w:t>Cash, Cash Equivalents and Restricted Cash</w:t>
      </w:r>
      <w:r>
        <w:rPr>
          <w:rFonts w:ascii="Times New Roman;serif" w:hAnsi="Times New Roman;serif"/>
          <w:b w:val="false"/>
          <w:color w:val="000000"/>
          <w:sz w:val="16"/>
        </w:rPr>
        <w:t>:</w:t>
      </w:r>
    </w:p>
    <w:tbl>
      <w:tblPr>
        <w:tblW w:w="6356" w:type="dxa"/>
        <w:jc w:val="center"/>
        <w:tblInd w:w="0" w:type="dxa"/>
        <w:tblLayout w:type="fixed"/>
        <w:tblCellMar>
          <w:top w:w="28" w:type="dxa"/>
          <w:left w:w="28" w:type="dxa"/>
          <w:bottom w:w="28" w:type="dxa"/>
          <w:right w:w="28" w:type="dxa"/>
        </w:tblCellMar>
      </w:tblPr>
      <w:tblGrid>
        <w:gridCol w:w="1216"/>
        <w:gridCol w:w="1069"/>
        <w:gridCol w:w="1074"/>
        <w:gridCol w:w="212"/>
        <w:gridCol w:w="796"/>
        <w:gridCol w:w="117"/>
        <w:gridCol w:w="109"/>
        <w:gridCol w:w="109"/>
        <w:gridCol w:w="109"/>
        <w:gridCol w:w="279"/>
        <w:gridCol w:w="1047"/>
        <w:gridCol w:w="219"/>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362,578 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364,226 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Description of Business and Summary of Significant Accounting Policies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Veracyte, Inc., or Veracyte, or the Company, is a global diagnostics company that provides clinicians with tests for patients with, or potentially facing, a cancer diagnosis. Veracyte's tests are used by clinicians for diagnostic, prognostic, predictive and treatment decisions, as well as the detection of disease recurrence.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headquarters are in South San Francisco, California, and it has operations in San Diego, California, Austin, Texas, and Haifa, Israel.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offers tests in prostate cancer (Decipher Prostate); thyroid cancer (Afirma); breast cancer (Prosigna); and bladder cancer (Decipher Bladder and TrueMRD for muscle-invasive bladder cancer, or MIBC).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outside of the United States, the Company provides its Prosigna test to patients through distribution to laboratories and hospitals that can perform the tests locally as an in vitro diagnostic, or IVD, test.</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2026, the condensed consolidated statements of operations for the three and six months ended June 30, 2026 and 2025, the condensed consolidated statements of comprehensive income for the three and six months ended June 30, 2026 and 2025, the condensed consolidated statements of stockholders' equity for the three and six months ended June 30, 2026 and 2025, and the condensed consolidated statements of cash flows for the six months ended June 30, 2026 and 2025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2025 has been derived from audited financial statements. The results for the three and six months ended June 30, 2026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August 1, 2025, the Company ceased to have a controlling financial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 </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prior period balances have been reclassified to conform to current period presentation of the Company’s condensed consolidated financial statements and accompanying notes. Such reclassifications have no effect on previously reported results of operations, accumulated deficit, subtotals of operating, investing or financing cash flows or consolidated balance sheet totals; however, for the six months ended June 30, 2025, the Company reclassified $1.9 million of amortization of discount on short-term investments from the changes in other assets caption in the condensed consolidated statements of cash flow to a separate caption, amortization of discount on short-term investments, within the operating activities section.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interim financial statements in conformity with U.S.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assets and contingent consideration; stock-based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Concentrations of Credit Risk and Other Risks and Uncertainties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 June 30, 2026, the Company has derived most of its revenue from the sale of Decipher Prostate and Afirma testing. To date, Decipher Prostate and Afirma testing have been delivered primarily to physicians in the United States.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total third-party payers and other customers in excess of 10% of total revenue and their related revenue as a percentage of total revenue were as follows:</w:t>
      </w:r>
    </w:p>
    <w:p>
      <w:pPr>
        <w:pStyle w:val="TextBody"/>
        <w:bidi w:val="0"/>
        <w:spacing w:lineRule="auto" w:line="288" w:before="0" w:after="0"/>
        <w:ind w:left="0" w:right="0" w:firstLine="855"/>
        <w:jc w:val="both"/>
        <w:rPr>
          <w:color w:val="000000"/>
        </w:rPr>
      </w:pPr>
      <w:r>
        <w:rPr>
          <w:color w:val="000000"/>
        </w:rPr>
        <w:t> </w:t>
      </w:r>
    </w:p>
    <w:tbl>
      <w:tblPr>
        <w:tblW w:w="6401" w:type="dxa"/>
        <w:jc w:val="center"/>
        <w:tblInd w:w="0" w:type="dxa"/>
        <w:tblLayout w:type="fixed"/>
        <w:tblCellMar>
          <w:top w:w="28" w:type="dxa"/>
          <w:left w:w="28" w:type="dxa"/>
          <w:bottom w:w="28" w:type="dxa"/>
          <w:right w:w="28" w:type="dxa"/>
        </w:tblCellMar>
      </w:tblPr>
      <w:tblGrid>
        <w:gridCol w:w="489"/>
        <w:gridCol w:w="428"/>
        <w:gridCol w:w="434"/>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UnitedHealthcare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above table, Medicare Advantage plans are included with their associated private payer amounts and Medicare amounts do not include Medicare Advantage.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third-party payers in excess of 10% of total accounts receivable and their related accounts receivable balance as a percentage of total accounts receivable were as follows:</w:t>
      </w:r>
    </w:p>
    <w:p>
      <w:pPr>
        <w:pStyle w:val="TextBody"/>
        <w:bidi w:val="0"/>
        <w:spacing w:lineRule="auto" w:line="288" w:before="0" w:after="0"/>
        <w:ind w:left="0" w:right="0" w:firstLine="855"/>
        <w:jc w:val="both"/>
        <w:rPr>
          <w:color w:val="000000"/>
        </w:rPr>
      </w:pPr>
      <w:r>
        <w:rPr>
          <w:color w:val="000000"/>
        </w:rPr>
        <w:t> </w:t>
      </w:r>
    </w:p>
    <w:tbl>
      <w:tblPr>
        <w:tblW w:w="4423" w:type="dxa"/>
        <w:jc w:val="left"/>
        <w:tblInd w:w="0" w:type="dxa"/>
        <w:tblLayout w:type="fixed"/>
        <w:tblCellMar>
          <w:top w:w="28" w:type="dxa"/>
          <w:left w:w="28" w:type="dxa"/>
          <w:bottom w:w="28" w:type="dxa"/>
          <w:right w:w="28" w:type="dxa"/>
        </w:tblCellMar>
      </w:tblPr>
      <w:tblGrid>
        <w:gridCol w:w="489"/>
        <w:gridCol w:w="428"/>
        <w:gridCol w:w="434"/>
        <w:gridCol w:w="264"/>
        <w:gridCol w:w="264"/>
        <w:gridCol w:w="627"/>
        <w:gridCol w:w="109"/>
        <w:gridCol w:w="109"/>
        <w:gridCol w:w="109"/>
        <w:gridCol w:w="333"/>
        <w:gridCol w:w="333"/>
        <w:gridCol w:w="924"/>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w:t>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UnitedHealthcare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demand deposits in a bank, money market funds and highly liquid investments with maturities at the time of purchase of three months or less to be cash equivalents.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United States treasury securities and certificates of deposit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June 30, 2026 and December 31, 2025, no allowances for expected credit losses had been recorded and there have been no impairment or credit losses on the Company's short-term investments.</w:t>
      </w:r>
    </w:p>
    <w:p>
      <w:pPr>
        <w:pStyle w:val="TextBody"/>
        <w:bidi w:val="0"/>
        <w:spacing w:before="0" w:after="0"/>
        <w:ind w:left="0" w:right="0" w:firstLine="85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deposits of $1.7 million and $1.6 million included in long-term assets as of June 30, 2026 and December 31, 2025, respectively, restricted from withdrawal and held by banks primarily in the form of collateral for irrevocable standby letters of credit held as security for the Company's leases. </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recognizes revenue in accordance with the provisions of the Financial Accounting Standards Board, or FASB, Accounting Standards Codification, or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pStyle w:val="TextBody"/>
        <w:bidi w:val="0"/>
        <w:spacing w:before="0" w:after="0"/>
        <w:jc w:val="left"/>
        <w:rPr/>
      </w:pPr>
      <w:r>
        <w:rPr/>
      </w:r>
    </w:p>
    <w:p>
      <w:pPr>
        <w:pStyle w:val="TextBody"/>
        <w:bidi w:val="0"/>
        <w:spacing w:lineRule="auto" w:line="256" w:before="0" w:after="0"/>
        <w:ind w:left="0" w:right="0" w:firstLine="135"/>
        <w:jc w:val="left"/>
        <w:rPr>
          <w:rFonts w:ascii="Times New Roman;serif" w:hAnsi="Times New Roman;serif"/>
          <w:b/>
          <w:color w:val="000000"/>
          <w:sz w:val="20"/>
        </w:rPr>
      </w:pPr>
      <w:r>
        <w:rPr>
          <w:rFonts w:ascii="Times New Roman;serif" w:hAnsi="Times New Roman;serif"/>
          <w:b/>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order the test. The Company identifies each sale of its test to a customer as a single performance obligation. A stated contract price does not exist and the transaction price for each implied contract with a customer represents variable consideration. The Company uses the expected value method of estimating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six months ended June 30, 2026, the Company recorded $4.5 million and $8.7 million, respectively, and for the three and six months ended June 30, 2025 the Company recorded $1.8 million and $2.2 million, respectively, resulting from cash collections exceeding the estimated variable consideration related to tests reported in previous years, including revenue received from successful appeals of reimbursement denials, net of recoupments.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56" w:before="0" w:after="0"/>
        <w:ind w:left="0" w:right="0" w:firstLine="135"/>
        <w:jc w:val="left"/>
        <w:rPr>
          <w:rFonts w:ascii="Times New Roman;serif" w:hAnsi="Times New Roman;serif"/>
          <w:b/>
          <w:color w:val="000000"/>
          <w:sz w:val="20"/>
        </w:rPr>
      </w:pPr>
      <w:r>
        <w:rPr>
          <w:rFonts w:ascii="Times New Roman;serif" w:hAnsi="Times New Roman;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revenue primarily consists of the Prosigna IVD breast cancer assay and, to a much lesser extent, related diagnostic kits and services. Product revenue from diagnostic kits is generally recognized upon shipment from the contract manufacturer. Shipping and handling costs incurred for product shipments are included in product revenue. Revenue is presented net of the taxes that are collected from customers and remitted to governmental authorities. </w:t>
      </w:r>
    </w:p>
    <w:p>
      <w:pPr>
        <w:pStyle w:val="TextBody"/>
        <w:bidi w:val="0"/>
        <w:spacing w:before="0" w:after="0"/>
        <w:ind w:left="0" w:right="0" w:firstLine="450"/>
        <w:jc w:val="both"/>
        <w:rPr/>
      </w:pPr>
      <w:r>
        <w:rPr/>
      </w:r>
    </w:p>
    <w:p>
      <w:pPr>
        <w:pStyle w:val="TextBody"/>
        <w:bidi w:val="0"/>
        <w:spacing w:lineRule="auto" w:line="256" w:before="0" w:after="0"/>
        <w:ind w:left="0" w:right="0" w:firstLine="135"/>
        <w:jc w:val="left"/>
        <w:rPr>
          <w:rFonts w:ascii="Times New Roman;serif" w:hAnsi="Times New Roman;serif"/>
          <w:b/>
          <w:color w:val="000000"/>
          <w:sz w:val="20"/>
        </w:rPr>
      </w:pPr>
      <w:r>
        <w:rPr>
          <w:rFonts w:ascii="Times New Roman;serif" w:hAnsi="Times New Roman;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from biopharmaceutical and other revenue was $1.4 million at June 30, 2026 and $3.6 million at December 31, 2025. Deferred revenue related to these agreements was $0.6 million at June 30, 2026 and $1.2 million at December 31, 2025. Following the restructuring proceedings affecting Veracyte SAS, as of August 2025 Veracyte SAS no longer provides biopharmaceutical services, contract manufacturing or contract development services. Revenue included in biopharmaceutical and other revenue for the three and six months ended June 30, 2026 and 2025 was as follows (in thousands of dollars):</w:t>
      </w:r>
    </w:p>
    <w:p>
      <w:pPr>
        <w:pStyle w:val="TextBody"/>
        <w:bidi w:val="0"/>
        <w:spacing w:before="0" w:after="0"/>
        <w:ind w:left="0" w:right="0" w:firstLine="450"/>
        <w:jc w:val="both"/>
        <w:rPr/>
      </w:pPr>
      <w:r>
        <w:rPr/>
      </w:r>
    </w:p>
    <w:tbl>
      <w:tblPr>
        <w:tblW w:w="7639" w:type="dxa"/>
        <w:jc w:val="center"/>
        <w:tblInd w:w="0" w:type="dxa"/>
        <w:tblLayout w:type="fixed"/>
        <w:tblCellMar>
          <w:top w:w="28" w:type="dxa"/>
          <w:left w:w="28" w:type="dxa"/>
          <w:bottom w:w="28" w:type="dxa"/>
          <w:right w:w="28" w:type="dxa"/>
        </w:tblCellMar>
      </w:tblPr>
      <w:tblGrid>
        <w:gridCol w:w="940"/>
        <w:gridCol w:w="826"/>
        <w:gridCol w:w="828"/>
        <w:gridCol w:w="250"/>
        <w:gridCol w:w="538"/>
        <w:gridCol w:w="139"/>
        <w:gridCol w:w="139"/>
        <w:gridCol w:w="139"/>
        <w:gridCol w:w="139"/>
        <w:gridCol w:w="250"/>
        <w:gridCol w:w="710"/>
        <w:gridCol w:w="139"/>
        <w:gridCol w:w="109"/>
        <w:gridCol w:w="109"/>
        <w:gridCol w:w="109"/>
        <w:gridCol w:w="213"/>
        <w:gridCol w:w="605"/>
        <w:gridCol w:w="118"/>
        <w:gridCol w:w="118"/>
        <w:gridCol w:w="118"/>
        <w:gridCol w:w="118"/>
        <w:gridCol w:w="213"/>
        <w:gridCol w:w="605"/>
        <w:gridCol w:w="16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Biopharmaceutical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and testing</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Testing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cost of testing revenue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product revenue consists primarily of costs of diagnostic kit components and reagents, labor, delivery costs and royalties for licensed technologies included in the Company's products. Subsequent to the restructuring proceedings affecting Veracyte SAS in August 2025, the costs of diagnostic kit components and reagents and labor costs are paid to a third-party contract manufacturer. The cost of the finished product is recognized in the period the related revenue is recognized.</w:t>
      </w:r>
    </w:p>
    <w:p>
      <w:pPr>
        <w:pStyle w:val="TextBody"/>
        <w:bidi w:val="0"/>
        <w:spacing w:lineRule="auto" w:line="288" w:before="0" w:after="0"/>
        <w:ind w:left="0" w:right="0" w:firstLine="135"/>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Biopharmaceutical and Other Revenue</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 consists of costs of performing activities under arrangements that require the Company to license or provide access to its assets or laboratory testing services, as well as costs incurred in providing contracted research and development and manufacturing activities. These costs are mainly composed of compensation, manufacturing and laboratory supplies, and pass-through costs. Following the restructuring proceedings affecting Veracyte SAS, as of August 2025 Veracyte SAS no longer provides biopharmaceutical services, contract manufacturing or contract development services.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November 2024, the FASB issued Accounting Standards Update, or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85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Net Income Per Common Share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 The following table sets forth the computation of basic and diluted EPS (in thousands, except per-share amounts):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47"/>
        <w:gridCol w:w="1671"/>
        <w:gridCol w:w="1675"/>
        <w:gridCol w:w="216"/>
        <w:gridCol w:w="715"/>
        <w:gridCol w:w="120"/>
        <w:gridCol w:w="120"/>
        <w:gridCol w:w="120"/>
        <w:gridCol w:w="120"/>
        <w:gridCol w:w="216"/>
        <w:gridCol w:w="582"/>
        <w:gridCol w:w="120"/>
        <w:gridCol w:w="109"/>
        <w:gridCol w:w="109"/>
        <w:gridCol w:w="109"/>
        <w:gridCol w:w="201"/>
        <w:gridCol w:w="666"/>
        <w:gridCol w:w="111"/>
        <w:gridCol w:w="111"/>
        <w:gridCol w:w="111"/>
        <w:gridCol w:w="111"/>
        <w:gridCol w:w="201"/>
        <w:gridCol w:w="573"/>
        <w:gridCol w:w="171"/>
      </w:tblGrid>
      <w:tr>
        <w:trPr/>
        <w:tc>
          <w:tcPr>
            <w:tcW w:w="194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basic and diluted EPS — net income (A)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basic EPS — weighted average shares (B)</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potentially dilutive common stock from:</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subject to outstanding options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potential common shares</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diluted EPS — adjusted weighted average shares and assumed conversions (C)</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EPS (A / B)</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 (A / 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equivalent shares excluded from the dilutive calculation due to antidilutive effect: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subject to outstanding options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potential common shares</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Balance Sheet Components</w:t>
      </w:r>
    </w:p>
    <w:p>
      <w:pPr>
        <w:pStyle w:val="TextBody"/>
        <w:bidi w:val="0"/>
        <w:spacing w:before="0" w:after="0"/>
        <w:jc w:val="left"/>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was $767.2 million as of both June 30, 2026 and December 31, 2025. The Company has not recorded any impairment related to goodwill.</w:t>
      </w:r>
    </w:p>
    <w:p>
      <w:pPr>
        <w:pStyle w:val="TextBody"/>
        <w:bidi w:val="0"/>
        <w:spacing w:before="0" w:after="0"/>
        <w:ind w:left="0" w:right="0" w:firstLine="45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include finite-lived product technology, customer relationships, licenses and trade names and indefinite-lived in-process research and development. Intangible assets consisted of the following (in thousands of dollars):</w:t>
      </w:r>
    </w:p>
    <w:p>
      <w:pPr>
        <w:pStyle w:val="TextBody"/>
        <w:bidi w:val="0"/>
        <w:spacing w:before="0" w:after="0"/>
        <w:jc w:val="left"/>
        <w:rPr/>
      </w:pPr>
      <w:r>
        <w:rPr/>
      </w:r>
    </w:p>
    <w:tbl>
      <w:tblPr>
        <w:tblW w:w="10255" w:type="dxa"/>
        <w:jc w:val="center"/>
        <w:tblInd w:w="0" w:type="dxa"/>
        <w:tblLayout w:type="fixed"/>
        <w:tblCellMar>
          <w:top w:w="28" w:type="dxa"/>
          <w:left w:w="28" w:type="dxa"/>
          <w:bottom w:w="28" w:type="dxa"/>
          <w:right w:w="28" w:type="dxa"/>
        </w:tblCellMar>
      </w:tblPr>
      <w:tblGrid>
        <w:gridCol w:w="446"/>
        <w:gridCol w:w="287"/>
        <w:gridCol w:w="288"/>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Percepta product technology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Prosigna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Decipher product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Decipher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C2i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8"/>
              </w:rPr>
            </w:pPr>
            <w:r>
              <w:rPr>
                <w:rFonts w:ascii="Times New Roman;serif" w:hAnsi="Times New Roman;serif"/>
                <w:b w:val="false"/>
                <w:color w:val="000000"/>
                <w:sz w:val="18"/>
              </w:rPr>
              <w:t>8.3</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In-process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 During the second quarter of 2026 following the launch of TrueMRD, in-process research and development intangibles of $6.2 million were reclassified to C2i developed technology intangibles and is being amortized over its estimated useful life.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of $3.2 million and $3.3 million was recognized for the three months ended June 30, 2026 and 2025, respectively, and an expense of $6.4 million and $6.5 million was recognized for the six months ended June 30, 2026 and 2025,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future aggregate amortization expense as of June 30, 2026 is as follows (in thousands of dollars):</w:t>
      </w:r>
    </w:p>
    <w:tbl>
      <w:tblPr>
        <w:tblW w:w="3065" w:type="dxa"/>
        <w:jc w:val="left"/>
        <w:tblInd w:w="0" w:type="dxa"/>
        <w:tblLayout w:type="fixed"/>
        <w:tblCellMar>
          <w:top w:w="28" w:type="dxa"/>
          <w:left w:w="28" w:type="dxa"/>
          <w:bottom w:w="28" w:type="dxa"/>
          <w:right w:w="28" w:type="dxa"/>
        </w:tblCellMar>
      </w:tblPr>
      <w:tblGrid>
        <w:gridCol w:w="749"/>
        <w:gridCol w:w="658"/>
        <w:gridCol w:w="662"/>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p>
    <w:p>
      <w:pPr>
        <w:pStyle w:val="TextBody"/>
        <w:bidi w:val="0"/>
        <w:spacing w:before="0" w:after="0"/>
        <w:ind w:left="0" w:right="0" w:firstLine="135"/>
        <w:jc w:val="both"/>
        <w:rPr/>
      </w:pPr>
      <w:r>
        <w:rPr/>
      </w:r>
    </w:p>
    <w:p>
      <w:pPr>
        <w:pStyle w:val="TextBody"/>
        <w:bidi w:val="0"/>
        <w:spacing w:lineRule="auto" w:line="288" w:before="100" w:after="283"/>
        <w:ind w:left="0" w:right="0" w:firstLine="135"/>
        <w:jc w:val="both"/>
        <w:rPr>
          <w:rFonts w:ascii="Times New Roman;serif" w:hAnsi="Times New Roman;serif"/>
          <w:b/>
          <w:i/>
          <w:color w:val="000000"/>
          <w:sz w:val="20"/>
        </w:rPr>
      </w:pPr>
      <w:r>
        <w:rPr>
          <w:rFonts w:ascii="Times New Roman;serif" w:hAnsi="Times New Roman;serif"/>
          <w:b/>
          <w:i/>
          <w:color w:val="000000"/>
          <w:sz w:val="20"/>
        </w:rPr>
        <w:t>Impairment of Assets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during the second quarter of 2025, that the long-lived assets of the Veracyte SAS asset group were not recoverable. As a result, the Company recorded a $20.5 million non-cash impairment charge for the three and six months ended December 31, 2025. The impairment related primarily to the Company's right-of-use assets; property, plant,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equipment; and certain tax credits. The impairment is included within the impairment of assets in the consolidated statement of operations.</w:t>
      </w:r>
    </w:p>
    <w:p>
      <w:pPr>
        <w:pStyle w:val="TextBody"/>
        <w:bidi w:val="0"/>
        <w:spacing w:before="0" w:after="0"/>
        <w:ind w:left="0" w:right="0" w:firstLine="13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 of dollars):</w:t>
      </w:r>
    </w:p>
    <w:p>
      <w:pPr>
        <w:pStyle w:val="TextBody"/>
        <w:bidi w:val="0"/>
        <w:spacing w:lineRule="auto" w:line="288" w:before="0" w:after="0"/>
        <w:ind w:left="0" w:right="0" w:firstLine="135"/>
        <w:jc w:val="left"/>
        <w:rPr>
          <w:color w:val="000000"/>
        </w:rPr>
      </w:pPr>
      <w:r>
        <w:rPr>
          <w:color w:val="000000"/>
        </w:rPr>
        <w:t> </w:t>
      </w:r>
    </w:p>
    <w:tbl>
      <w:tblPr>
        <w:tblW w:w="5501" w:type="dxa"/>
        <w:jc w:val="left"/>
        <w:tblInd w:w="0" w:type="dxa"/>
        <w:tblLayout w:type="fixed"/>
        <w:tblCellMar>
          <w:top w:w="28" w:type="dxa"/>
          <w:left w:w="28" w:type="dxa"/>
          <w:bottom w:w="28" w:type="dxa"/>
          <w:right w:w="28" w:type="dxa"/>
        </w:tblCellMar>
      </w:tblPr>
      <w:tblGrid>
        <w:gridCol w:w="880"/>
        <w:gridCol w:w="774"/>
        <w:gridCol w:w="776"/>
        <w:gridCol w:w="238"/>
        <w:gridCol w:w="785"/>
        <w:gridCol w:w="132"/>
        <w:gridCol w:w="109"/>
        <w:gridCol w:w="109"/>
        <w:gridCol w:w="109"/>
        <w:gridCol w:w="313"/>
        <w:gridCol w:w="1031"/>
        <w:gridCol w:w="245"/>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expenses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48,801 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I: Inputs which include quoted prices in active markets for identical assets and 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III: Unobservable inputs that are supported by little or no market activity and that are significant to the fair value of the assets or liabilities.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As of June 30, 2026 and December 31, 2025, the Company had the following financial instruments measured at fair value (in thousands of dollars):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92"/>
        <w:gridCol w:w="607"/>
        <w:gridCol w:w="392"/>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09"/>
        <w:gridCol w:w="109"/>
        <w:gridCol w:w="109"/>
        <w:gridCol w:w="109"/>
        <w:gridCol w:w="706"/>
        <w:gridCol w:w="629"/>
        <w:gridCol w:w="341"/>
        <w:gridCol w:w="109"/>
        <w:gridCol w:w="109"/>
        <w:gridCol w:w="109"/>
        <w:gridCol w:w="295"/>
        <w:gridCol w:w="282"/>
        <w:gridCol w:w="405"/>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Recorded Method</w:t>
            </w:r>
          </w:p>
        </w:tc>
      </w:tr>
      <w:tr>
        <w:trPr/>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for the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Recorded Method</w:t>
            </w:r>
          </w:p>
        </w:tc>
      </w:tr>
      <w:tr>
        <w:trPr/>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for the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Levels 1, 2 or 3 for the six months ended June 30, 2026 and 2025.</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contingent consideration related to the acquisition of the exclusive global diagnostic license to the nCounter Analysis System was remeasured to $0.9 million and $1.6 million, respectively. For the three and six months ended June 30, 2026, reversal of expense of $0.3 million and $0.7 million, respectively, and for both the three and six months ended June 30, 2025, reversal of expense of $1.0 million was recorded. As of June 30, 2026, the achievement of one of the milestones is forecasted to occur within the next 12 months. As a result, $0.7 million of the contingent consideration is included in short term liabilities at June 30,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includes inputs that are not observable in the market.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June 30, 2026 and December 31, 2025, the Company calculated the estimated fair value of the milestones using the following significant unobservable inputs:</w:t>
      </w:r>
    </w:p>
    <w:p>
      <w:pPr>
        <w:pStyle w:val="TextBody"/>
        <w:bidi w:val="0"/>
        <w:spacing w:lineRule="auto" w:line="288" w:before="0" w:after="0"/>
        <w:ind w:left="0" w:right="0" w:firstLine="135"/>
        <w:jc w:val="left"/>
        <w:rPr>
          <w:color w:val="000000"/>
        </w:rPr>
      </w:pPr>
      <w:r>
        <w:rPr>
          <w:color w:val="000000"/>
        </w:rPr>
        <w:t> </w:t>
      </w:r>
    </w:p>
    <w:tbl>
      <w:tblPr>
        <w:tblW w:w="6176"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440"/>
        <w:gridCol w:w="440"/>
        <w:gridCol w:w="440"/>
        <w:gridCol w:w="310"/>
        <w:gridCol w:w="310"/>
        <w:gridCol w:w="310"/>
        <w:gridCol w:w="459"/>
        <w:gridCol w:w="459"/>
        <w:gridCol w:w="671"/>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or Range (Weighted-Average)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Probability of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 - 20% (16%)</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 - 40% (34%)</w:t>
            </w:r>
          </w:p>
        </w:tc>
      </w:tr>
    </w:tbl>
    <w:p>
      <w:pPr>
        <w:pStyle w:val="TextBody"/>
        <w:bidi w:val="0"/>
        <w:spacing w:lineRule="auto" w:line="288" w:before="0" w:after="0"/>
        <w:ind w:left="0" w:right="0" w:firstLine="135"/>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Short-Term Investments Held-to-Maturity</w:t>
      </w:r>
    </w:p>
    <w:p>
      <w:pPr>
        <w:pStyle w:val="TextBody"/>
        <w:bidi w:val="0"/>
        <w:spacing w:before="0" w:after="0"/>
        <w:ind w:left="0" w:right="0" w:firstLine="13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United States treasury securities and certificates of deposit with maturities, at the time of purchase, that were between three months and one year. Based upon the Company's intent and ability to hold its short-term investments to maturity, the Company classified these investments as held-to-maturity and recorded them at amortized cost. As of June 30, 2026 and December 31, 2025, the Company had the following short-term investments (in thousands of dollars):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39"/>
        <w:gridCol w:w="636"/>
        <w:gridCol w:w="635"/>
        <w:gridCol w:w="242"/>
        <w:gridCol w:w="910"/>
        <w:gridCol w:w="134"/>
        <w:gridCol w:w="109"/>
        <w:gridCol w:w="109"/>
        <w:gridCol w:w="109"/>
        <w:gridCol w:w="734"/>
        <w:gridCol w:w="1244"/>
        <w:gridCol w:w="413"/>
        <w:gridCol w:w="109"/>
        <w:gridCol w:w="109"/>
        <w:gridCol w:w="109"/>
        <w:gridCol w:w="672"/>
        <w:gridCol w:w="1395"/>
        <w:gridCol w:w="378"/>
        <w:gridCol w:w="109"/>
        <w:gridCol w:w="109"/>
        <w:gridCol w:w="109"/>
        <w:gridCol w:w="196"/>
        <w:gridCol w:w="736"/>
        <w:gridCol w:w="160"/>
      </w:tblGrid>
      <w:tr>
        <w:trPr/>
        <w:tc>
          <w:tcPr>
            <w:tcW w:w="7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89,922 </w:t>
            </w:r>
          </w:p>
        </w:tc>
        <w:tc>
          <w:tcPr>
            <w:tcW w:w="16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investments</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185,711 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185,690 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tbl>
      <w:tblPr>
        <w:tblW w:w="9610" w:type="dxa"/>
        <w:jc w:val="left"/>
        <w:tblInd w:w="0" w:type="dxa"/>
        <w:tblLayout w:type="fixed"/>
        <w:tblCellMar>
          <w:top w:w="28" w:type="dxa"/>
          <w:left w:w="28" w:type="dxa"/>
          <w:bottom w:w="28" w:type="dxa"/>
          <w:right w:w="28" w:type="dxa"/>
        </w:tblCellMar>
      </w:tblPr>
      <w:tblGrid>
        <w:gridCol w:w="396"/>
        <w:gridCol w:w="348"/>
        <w:gridCol w:w="350"/>
        <w:gridCol w:w="272"/>
        <w:gridCol w:w="897"/>
        <w:gridCol w:w="151"/>
        <w:gridCol w:w="109"/>
        <w:gridCol w:w="109"/>
        <w:gridCol w:w="109"/>
        <w:gridCol w:w="792"/>
        <w:gridCol w:w="1341"/>
        <w:gridCol w:w="446"/>
        <w:gridCol w:w="109"/>
        <w:gridCol w:w="109"/>
        <w:gridCol w:w="109"/>
        <w:gridCol w:w="726"/>
        <w:gridCol w:w="1506"/>
        <w:gridCol w:w="408"/>
        <w:gridCol w:w="109"/>
        <w:gridCol w:w="109"/>
        <w:gridCol w:w="109"/>
        <w:gridCol w:w="196"/>
        <w:gridCol w:w="64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Commitments and Contingencies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office and laboratory facilities in the U.S., including in South San Francisco and San Diego, California and Austin, Texas, and, prior to August 2025, in Marseille, France. Effective August 2025, in connection with the restructuring proceeding in Veracyte SAS, the Company is no longer a party to the lease in Marseille, France. The lease terms of the Company’s leases as of June 30, 2026 extend to March 2040 and contain extension of lease terms and expansion options. The leases have a weighted average remaining lease term of 10.9 years as of June 30, 2026. The Company had deposits of $1.7 million and $1.6 million included in long-term assets as of June 30, 2026 and December 31, 2025, respectively, restricted from withdrawal and held by banks in the form of collateral for irrevocable standby letters of credit held as security for the leases.</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The Company classified its deferred rent for tenant improvements with its operating lease right-of-use assets on the consolidated balance sheets.</w:t>
      </w:r>
    </w:p>
    <w:p>
      <w:pPr>
        <w:pStyle w:val="TextBody"/>
        <w:bidi w:val="0"/>
        <w:spacing w:lineRule="auto" w:line="288" w:before="0" w:after="0"/>
        <w:ind w:left="0" w:right="0" w:firstLine="135"/>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June 30, 2026 are as follows (in thousands of dollars):</w:t>
      </w:r>
    </w:p>
    <w:p>
      <w:pPr>
        <w:pStyle w:val="TextBody"/>
        <w:bidi w:val="0"/>
        <w:spacing w:lineRule="auto" w:line="288" w:before="0" w:after="0"/>
        <w:ind w:left="0" w:right="0" w:firstLine="135"/>
        <w:jc w:val="center"/>
        <w:rPr>
          <w:color w:val="000000"/>
        </w:rPr>
      </w:pPr>
      <w:r>
        <w:rPr>
          <w:color w:val="000000"/>
        </w:rPr>
        <w:t> </w:t>
      </w:r>
    </w:p>
    <w:tbl>
      <w:tblPr>
        <w:tblW w:w="3830" w:type="dxa"/>
        <w:jc w:val="left"/>
        <w:tblInd w:w="0" w:type="dxa"/>
        <w:tblLayout w:type="fixed"/>
        <w:tblCellMar>
          <w:top w:w="28" w:type="dxa"/>
          <w:left w:w="28" w:type="dxa"/>
          <w:bottom w:w="28" w:type="dxa"/>
          <w:right w:w="28" w:type="dxa"/>
        </w:tblCellMar>
      </w:tblPr>
      <w:tblGrid>
        <w:gridCol w:w="1027"/>
        <w:gridCol w:w="902"/>
        <w:gridCol w:w="905"/>
        <w:gridCol w:w="196"/>
        <w:gridCol w:w="64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future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lease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operating lease expense on a straight-line basis over the non-cancelable lease period. The following table summarizes operating lease expense and cash paid for amounts included in the measurement of lease liabilities (in thousands of dollars): </w:t>
      </w:r>
    </w:p>
    <w:p>
      <w:pPr>
        <w:pStyle w:val="TextBody"/>
        <w:bidi w:val="0"/>
        <w:spacing w:before="0" w:after="0"/>
        <w:ind w:left="0" w:right="0" w:firstLine="450"/>
        <w:jc w:val="both"/>
        <w:rPr/>
      </w:pPr>
      <w:r>
        <w:rPr/>
      </w:r>
    </w:p>
    <w:tbl>
      <w:tblPr>
        <w:tblW w:w="10084" w:type="dxa"/>
        <w:jc w:val="center"/>
        <w:tblInd w:w="0" w:type="dxa"/>
        <w:tblLayout w:type="fixed"/>
        <w:tblCellMar>
          <w:top w:w="28" w:type="dxa"/>
          <w:left w:w="28" w:type="dxa"/>
          <w:bottom w:w="28" w:type="dxa"/>
          <w:right w:w="28" w:type="dxa"/>
        </w:tblCellMar>
      </w:tblPr>
      <w:tblGrid>
        <w:gridCol w:w="1824"/>
        <w:gridCol w:w="1604"/>
        <w:gridCol w:w="1612"/>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court denied Sonic Healthcare USA, Inc.’s motion to dismiss on January 20, 2026. The parties attended the claim construction hearing on July 15, 2026. On July 21, 2026, an </w:t>
      </w:r>
      <w:r>
        <w:rPr>
          <w:rFonts w:ascii="Times New Roman;serif" w:hAnsi="Times New Roman;serif"/>
          <w:b w:val="false"/>
          <w:i/>
          <w:color w:val="000000"/>
          <w:sz w:val="20"/>
        </w:rPr>
        <w:t>ex parte</w:t>
      </w:r>
      <w:r>
        <w:rPr>
          <w:color w:val="000000"/>
        </w:rPr>
        <w:t xml:space="preserve"> </w:t>
      </w:r>
      <w:r>
        <w:rPr>
          <w:rFonts w:ascii="Times New Roman;serif" w:hAnsi="Times New Roman;serif"/>
          <w:b w:val="false"/>
          <w:color w:val="000000"/>
          <w:sz w:val="20"/>
        </w:rPr>
        <w:t>reexamination of one of the asserted patents was granted by the United States Patent and Trademark Office. The jury trial in the litigation is currently scheduled for the first quarter of next year.</w:t>
      </w:r>
    </w:p>
    <w:p>
      <w:pPr>
        <w:pStyle w:val="TextBody"/>
        <w:bidi w:val="0"/>
        <w:spacing w:before="0" w:after="0"/>
        <w:ind w:left="0" w:right="0" w:firstLine="8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p>
      <w:pPr>
        <w:pStyle w:val="TextBody"/>
        <w:bidi w:val="0"/>
        <w:spacing w:lineRule="auto" w:line="288" w:before="0" w:after="0"/>
        <w:ind w:left="0" w:right="0" w:firstLine="135"/>
        <w:jc w:val="left"/>
        <w:rPr>
          <w:color w:val="000000"/>
        </w:rPr>
      </w:pPr>
      <w:r>
        <w:rPr>
          <w:color w:val="000000"/>
        </w:rPr>
        <w:t> </w:t>
      </w:r>
    </w:p>
    <w:tbl>
      <w:tblPr>
        <w:tblW w:w="9311" w:type="dxa"/>
        <w:jc w:val="left"/>
        <w:tblInd w:w="0" w:type="dxa"/>
        <w:tblLayout w:type="fixed"/>
        <w:tblCellMar>
          <w:top w:w="28" w:type="dxa"/>
          <w:left w:w="28" w:type="dxa"/>
          <w:bottom w:w="28" w:type="dxa"/>
          <w:right w:w="28" w:type="dxa"/>
        </w:tblCellMar>
      </w:tblPr>
      <w:tblGrid>
        <w:gridCol w:w="2169"/>
        <w:gridCol w:w="1909"/>
        <w:gridCol w:w="1921"/>
        <w:gridCol w:w="479"/>
        <w:gridCol w:w="482"/>
        <w:gridCol w:w="386"/>
        <w:gridCol w:w="109"/>
        <w:gridCol w:w="109"/>
        <w:gridCol w:w="109"/>
        <w:gridCol w:w="513"/>
        <w:gridCol w:w="465"/>
        <w:gridCol w:w="660"/>
      </w:tblGrid>
      <w:tr>
        <w:trPr/>
        <w:tc>
          <w:tcPr>
            <w:tcW w:w="216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 units issued and outstanding</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5,158,954 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4,806,993 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 units available for grant under stock option plans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13,059,710 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10,937,821 </w:t>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available for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798,732 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895,255 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19,017,396 </w:t>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16,640,069 </w:t>
            </w:r>
          </w:p>
        </w:tc>
        <w:tc>
          <w:tcPr>
            <w:tcW w:w="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Components of Other Income</w:t>
      </w:r>
    </w:p>
    <w:p>
      <w:pPr>
        <w:pStyle w:val="TextBody"/>
        <w:bidi w:val="0"/>
        <w:spacing w:before="0" w:after="0"/>
        <w:jc w:val="left"/>
        <w:rPr/>
      </w:pPr>
      <w:r>
        <w:rPr/>
      </w:r>
    </w:p>
    <w:p>
      <w:pPr>
        <w:pStyle w:val="TextBody"/>
        <w:bidi w:val="0"/>
        <w:spacing w:lineRule="auto" w:line="25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 (in thousands of dollars):</w:t>
      </w:r>
    </w:p>
    <w:p>
      <w:pPr>
        <w:pStyle w:val="TextBody"/>
        <w:bidi w:val="0"/>
        <w:spacing w:before="0" w:after="0"/>
        <w:jc w:val="left"/>
        <w:rPr/>
      </w:pPr>
      <w:r>
        <w:rPr/>
      </w:r>
    </w:p>
    <w:tbl>
      <w:tblPr>
        <w:tblW w:w="7670" w:type="dxa"/>
        <w:jc w:val="center"/>
        <w:tblInd w:w="0" w:type="dxa"/>
        <w:tblLayout w:type="fixed"/>
        <w:tblCellMar>
          <w:top w:w="28" w:type="dxa"/>
          <w:left w:w="28" w:type="dxa"/>
          <w:bottom w:w="28" w:type="dxa"/>
          <w:right w:w="28" w:type="dxa"/>
        </w:tblCellMar>
      </w:tblPr>
      <w:tblGrid>
        <w:gridCol w:w="951"/>
        <w:gridCol w:w="834"/>
        <w:gridCol w:w="840"/>
        <w:gridCol w:w="233"/>
        <w:gridCol w:w="663"/>
        <w:gridCol w:w="130"/>
        <w:gridCol w:w="130"/>
        <w:gridCol w:w="130"/>
        <w:gridCol w:w="130"/>
        <w:gridCol w:w="233"/>
        <w:gridCol w:w="663"/>
        <w:gridCol w:w="130"/>
        <w:gridCol w:w="109"/>
        <w:gridCol w:w="109"/>
        <w:gridCol w:w="109"/>
        <w:gridCol w:w="196"/>
        <w:gridCol w:w="647"/>
        <w:gridCol w:w="109"/>
        <w:gridCol w:w="109"/>
        <w:gridCol w:w="109"/>
        <w:gridCol w:w="109"/>
        <w:gridCol w:w="196"/>
        <w:gridCol w:w="647"/>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escrow claims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currency revaluation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Segment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tests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discretely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discrete operating results of the business activities, nor is there any intent to bifurcate the overall business review process to produce discrete operating results specific to any of the Company's business activities. The measure of segment assets is reported on the consolidated balance sheet as total consolidated assets. Consolidated revenue does not include any inter-segment sales or transfers.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about reported segment revenue, measures of segment profit or loss, significant segment expenses and reconciliation to income from operations was as follows (in thousands):</w:t>
      </w:r>
    </w:p>
    <w:p>
      <w:pPr>
        <w:pStyle w:val="TextBody"/>
        <w:bidi w:val="0"/>
        <w:spacing w:before="0" w:after="0"/>
        <w:ind w:left="0" w:right="0" w:firstLine="495"/>
        <w:jc w:val="both"/>
        <w:rPr/>
      </w:pPr>
      <w:r>
        <w:rPr/>
      </w:r>
    </w:p>
    <w:tbl>
      <w:tblPr>
        <w:tblW w:w="9152" w:type="dxa"/>
        <w:jc w:val="center"/>
        <w:tblInd w:w="0" w:type="dxa"/>
        <w:tblLayout w:type="fixed"/>
        <w:tblCellMar>
          <w:top w:w="28" w:type="dxa"/>
          <w:left w:w="28" w:type="dxa"/>
          <w:bottom w:w="28" w:type="dxa"/>
          <w:right w:w="28" w:type="dxa"/>
        </w:tblCellMar>
      </w:tblPr>
      <w:tblGrid>
        <w:gridCol w:w="1419"/>
        <w:gridCol w:w="1247"/>
        <w:gridCol w:w="1263"/>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Testing revenue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Biopharmaceutical and other revenue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testing revenue: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supplies and reagents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Sample collection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testing revenue (1)</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testing revenue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royalties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product revenue (2)</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product revenue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biopharmaceutical and other revenue: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biopharmaceutical and other revenue (3)</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biopharmaceutical and other revenue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cost of revenue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research and development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research and development expenses (4)</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marketing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selling and marketing expenses (5)</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selling and marketing</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general and administrative expenses (6)</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facilities and IT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operating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cost of testing revenue includes cytopathology services,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cost of product revenue includes contract manufacturing fees, license fees and royalties,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(3)Other cost of biopharmaceutical and other revenue includes professional fees, information technology expense,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(4)Other research and development expenses include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(5)Other selling and marketing expenses include travel, entertainment, conference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(6)Other general and administrative expenses include professional fees, information technology expense, occupancy costs, depreciation and amortization, contingent consideration and other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is based on the current estimate of the annual effective tax rate applied to the Company’s year to date income and is adjusted for discrete items recorded in the period. For the three months ended June 30, 2026 and 2025, the Company’s effective tax rate was 3.9% and 178.5%, respectively. The non-cash impairment of $20.5 million recorded in the three months ended June 30, 2025 was treated as a discrete item for provisioning purposes and excluded from income thus the Company’s effective tax rate for the three months ended June 30, 2025 was substantially higher when compared to prior periods. For the six months ended June 30, 2026 and 2025, the Company’s effective tax rate was 4.1% and 30.1%, respectively. For the six months ended June 30, 2026 and 2025, the primary difference between the effective tax rate and the federal statutory rate is driven by unfavorable permanent differences, offset by the full valuation allowance the Company has established on its federal, state and foreign net operating losses and credits.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$1.0 million and $2.2 million for the three months ended June 30, 2026 and 2025, respectively, and recorded income tax expense of $2.3 million and $2.6 million for the six months ended June 30, 2026 and 2025, respectively. The provision for income taxes recorded in the six months ended June 30, 2026 and 2025 consists primarily of federal, state and foreign income taxes.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2025, or our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As discussed in the section titled “Special Note Regarding Forward-Looking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under Part II, Item 1A of this report and under Part I, Item 1A of our Annual Report. Historical results are not necessarily indicative of future results. </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used in this report, all references to "Veracyte," the "company," "we," "our" and "us" refer to Veracyte, Inc., together with its consolidated subsidiaries, unless otherwise noted.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non-exhaustive list of Veracyte and its affiliates’ trademarks and/or registered trademarks in the United States and certain other countries: Afirma, Decipher, Envisia, GenomeDx, GRID, Percepta, Prosigna, TrueMRD, Veracyte, and the Veracyte logo. nCounter is the registered trademark of Bruker Spatial Biology, Inc. and used by Veracyte under license. </w:t>
      </w:r>
    </w:p>
    <w:p>
      <w:pPr>
        <w:pStyle w:val="TextBody"/>
        <w:bidi w:val="0"/>
        <w:spacing w:lineRule="auto" w:line="288" w:before="0" w:after="0"/>
        <w:ind w:left="0" w:right="0" w:firstLine="67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135"/>
        <w:jc w:val="both"/>
        <w:rPr>
          <w:color w:val="000000"/>
        </w:rPr>
      </w:pPr>
      <w:r>
        <w:rPr>
          <w:color w:val="000000"/>
        </w:rPr>
        <w: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diagnostics company whose mission is to transform cancer care for patients all over the world. We do that by empowering clinicians with the high-value insights they need to guide and assure patients at pivotal moments along their cancer journey. Our high-performing tests enable clinicians to make more confident diagnostic, prognostic and predictive treatment decisions, as well as to detect disease recurrence. Insights from our tests help patients avoid unnecessary procedures and interventions and accelerate time to appropriate treatment, thereby improving outcomes and personalizing care decisions.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serve global markets with two complementary models. In the United States, we offer laboratory developed tests, or LDTs, through our centralized CLIA certified laboratories in South San Francisco and San Diego, California, supported by our cytopathology lab in Austin, Texas. Additionally, outside of the United States, we provide in vitro diagnostic, or IVD, tests to patients through diagnostic kits sold to laboratories and hospitals that can perform the tests locally. Our international distribution of IVDs is currently focused on breast cancer with our Prosigna Breast Cancer Assay kits and, in the future, we intend to offer Decipher Prostate as an IVD test. In the United States, we currently offer tests in prostate cancer (Decipher Prostate), thyroid cancer (Afirma), breast cancer (Prosigna) and bladder cancer (Decipher Bladder and TrueMRD for MIBC).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broad menu of advanced diagnostic tests, combined with our ability to deliver them globally, differentiates us in the diagnostics industry.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aiming to further expand our role across the cancer continuum by extending the use of our TrueMRD test into new indications. This will broaden the use of our portfolio of tests from prognosis and prediction to monitoring the success of a therapeutic or surgical intervention. In this way, across the cancer continuum, we can support the determination of the best course of action for each patient.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Macroeconomic Factors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Recent macroeconomic factors, such as interest rate fluctuations and inflation in the United States and other markets, evolving international trade policies and government actions relating to tariffs, as well as volatility in the global banking and finance systems, geopolitical challenges and other measures that restrict international trade,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macroeconomic effects of regional conflicts like those in the Middle East and between Russia and Ukraine may adversely impact our business and operating results. Finally, the ongoing conflict in the Middle East and related political, military and security conditions in and around Israel may disrupt our Israel business operations and employees that we acquired through our acquisition of 100% of the outstanding equity interests of C2i.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extent of the impact of macroeconomic factors on our future liquidity and operational performance will depend on future developments and their impact on our customers' operations and our sales and renewal cycles. We may also be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affected by further changes in central bank policies and fluctuations in interest rates, rates of inflation, and changes in foreign currency exchange rates. See "Risk Factors" for further discussion. </w:t>
      </w:r>
    </w:p>
    <w:p>
      <w:pPr>
        <w:pStyle w:val="TextBody"/>
        <w:bidi w:val="0"/>
        <w:spacing w:before="0" w:after="0"/>
        <w:ind w:left="0" w:right="0" w:firstLine="13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Reported Total Test Volume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samples that we receive that meet the medical indication for each test performed;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quantity and quality of the sample received;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receipt of the necessary documentation, such as physician order and patient consent, required to perform, bill and collect for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patient's ability to pay or provide necessary insurance coverage for the tests performed;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time it takes us or our customers to perform our tests and report the results, including as a result of supply chain challenges (including quality and supply of single-source reagents and consumables);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seasonality inherent in our business, such as the impact of workdays per period, weather-related disruptions, timing of industry conferences and timing of when patient deductibles are exceeded, which also impacts the reimbursement we receive from insurers;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demand for our product test kits, including as a result of higher average selling prices and overall spending constraints across our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prior authorization or meet other requirements instituted by payers, benefit managers, or regulators necessary to be paid for our tests.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Continued Adoption of and Reimbursement for our Products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teams are aligned under our general manager-based structure to focus on specific products and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Integrating Acquisitions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Product Development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aspect of our business is our investment in development activities, including activities related to the development of new tests, as well as modifications and enhancements to our current tests, including the ongoing development of our TrueMRD platform. In addition to these development activities, we also perform clinical evidence studies which are critical to gaining clinician adoption of our tests, driving favorable coverage decisions by payers, as well as gaining guideline inclusion for such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How We Recognize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recognize revenue in accordance with the provisions of the Financial Accounting Standards Board, or FASB, Accounting Standards Codification, or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Testing Revenue</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 </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expense for tests in the period in which the test is conducted and recognize revenue for tests in the period in which our revenue recognition criteria are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revenue consists primarily of international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 authorities.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June 30, 2026,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 for the periods presented:</w:t>
      </w:r>
    </w:p>
    <w:p>
      <w:pPr>
        <w:pStyle w:val="TextBody"/>
        <w:bidi w:val="0"/>
        <w:spacing w:before="0" w:after="0"/>
        <w:ind w:left="0" w:right="0" w:firstLine="135"/>
        <w:jc w:val="left"/>
        <w:rPr/>
      </w:pPr>
      <w:r>
        <w:rPr/>
      </w:r>
    </w:p>
    <w:tbl>
      <w:tblPr>
        <w:tblW w:w="6401" w:type="dxa"/>
        <w:jc w:val="center"/>
        <w:tblInd w:w="0" w:type="dxa"/>
        <w:tblLayout w:type="fixed"/>
        <w:tblCellMar>
          <w:top w:w="28" w:type="dxa"/>
          <w:left w:w="28" w:type="dxa"/>
          <w:bottom w:w="28" w:type="dxa"/>
          <w:right w:w="28" w:type="dxa"/>
        </w:tblCellMar>
      </w:tblPr>
      <w:tblGrid>
        <w:gridCol w:w="489"/>
        <w:gridCol w:w="428"/>
        <w:gridCol w:w="434"/>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UnitedHealthcare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center"/>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above table, Medicare Advantage plans are included with their associated private payer amounts and Medicare amounts do not include Medicare Advantage.</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Testing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cost of testing revenue are sample collection kit costs, reagent expenses, compensation expense, license fees and royalties, depreciation, customer service,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implementation of new technologies and other cost reductions. As we introduce new tests, initially our cost per test will be high as we expect to run suboptimal batch sizes, quality control batches, test batches, registry samples, and generally incur costs that may suppress or reduce gross margins. This will disproportionately increase our aggregate cost of testing revenue until we achieve processing efficiencies.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before="0" w:after="0"/>
        <w:ind w:left="0" w:right="0" w:firstLine="85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cost of product revenue consists primarily of costs of diagnostic kit components and reagents, labor, delivery costs and royalties for licensed technologies included in our products. Subsequent to the restructuring proceedings affecting Veracyte SAS in August 2025, the costs of diagnostic kit components and reagents and labor costs are paid to a third-party contract manufacturer. As our Prosigna test kits are sold in various configurations with different numbers of tests, our product cost per test will continue to vary based on the specific kit configuration purchased by customers.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 Amortization - Cost of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finite-lived intangible assets, acquired in business combinations, are being amortized over 5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primarily include compensation expense, direct research and development expenses such as laboratory supplies and costs associated with setting up and conducting clinical studies at domestic and international sites, software development expenses, professional fees, depreciation and amortization, other miscellaneous expenses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allocation of facility and information technology expenses. Further, research and development expenses include costs to collect clinical samples and conduct clinical studies to develop and support our products and pipeline, as well as develop future technology. We expense all research and development costs in the periods in which they are incurred. We incurred a majority of our research and development expenses in the six months ended June 30, 2026 and the year ended December 31, 2025 in support of our early-stage products, including support for the development and validation of our TrueMRD platform, as well as our Prosigna LDT test, the development of new IVD products and discovery. Going forward, we expect to incur significant expense as we invest in the continued development of our innovation engine, early-stage products including our TrueMRD platform, required clinical studies and the development of current IVD tests.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consist of compensation expenses, direct marketing expenses, professional fees, other expenses such as travel and communications costs, as well as allocation of facility and information technology expenses. Our sales team of approximately 130 representatives is organized by business unit in the U.S., with separate teams calling on thyroid cancer physicians, urologic cancer physicians and breast medical oncologists. The business units have dedicated marketing support, as well as a marketing operations team that serves the commercial organization broadly. Prosigna sales outside of the U.S. are led by country managers and sales teams that call on laboratories and breast cancer oncologists.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compensation expenses for executive officers and administrative, billing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in absolute terms as we build our infrastructure to scale revenue growth while declining as a percentage of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 Amortization - Operating Expenses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(Loss), Net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(loss), net consists primarily of interest income from our cash held in interest bearing accounts and our short-term investments, realized and unrealized gains and losses on foreign currency transactions, settlement of escrow claims and, prior to the restructuring proceedings affecting Veracyte SAS in August 2025, French tax credits.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the three and six months ended June 30, 2026 and 2025 (in thousands of dollars, except percentages and test volume):</w:t>
      </w:r>
    </w:p>
    <w:p>
      <w:pPr>
        <w:pStyle w:val="TextBody"/>
        <w:bidi w:val="0"/>
        <w:spacing w:lineRule="auto" w:line="288" w:before="0" w:after="0"/>
        <w:ind w:left="0" w:right="0" w:firstLine="135"/>
        <w:jc w:val="left"/>
        <w:rPr>
          <w:color w:val="000000"/>
        </w:rPr>
      </w:pPr>
      <w:r>
        <w:rPr>
          <w:color w:val="000000"/>
        </w:rPr>
        <w:t> </w:t>
      </w:r>
    </w:p>
    <w:tbl>
      <w:tblPr>
        <w:tblW w:w="10878" w:type="dxa"/>
        <w:jc w:val="center"/>
        <w:tblInd w:w="0" w:type="dxa"/>
        <w:tblLayout w:type="fixed"/>
        <w:tblCellMar>
          <w:top w:w="28" w:type="dxa"/>
          <w:left w:w="28" w:type="dxa"/>
          <w:bottom w:w="28" w:type="dxa"/>
          <w:right w:w="28" w:type="dxa"/>
        </w:tblCellMar>
      </w:tblPr>
      <w:tblGrid>
        <w:gridCol w:w="515"/>
        <w:gridCol w:w="453"/>
        <w:gridCol w:w="458"/>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5"/>
        <w:gridCol w:w="202"/>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1"/>
        <w:gridCol w:w="201"/>
        <w:gridCol w:w="169"/>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Testing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Biopharmaceutical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testing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biopharmaceutical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Operating Data:</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Diagnostic tests reported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tests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test volume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bl>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Revenue increased $20.2 million for the three months ended June 30, 2026 compared to the same period in 2025. This was primarily due to a $23.4 million increase in testing revenue, partially offset by a $3.5 million decrease in our biopharmaceutical and other revenue. The 19% growth in testing revenue was primarily driven by a 14% volume increase, as well as improved ASP and prior period collections. The Biopharmaceutical and other revenue decrease was </w:t>
      </w:r>
      <w:r>
        <w:rPr>
          <w:rFonts w:ascii="Times New Roman;serif" w:hAnsi="Times New Roman;serif"/>
          <w:b w:val="false"/>
          <w:color w:val="231F20"/>
          <w:sz w:val="20"/>
        </w:rPr>
        <w:t>due to the discontinuation of biopharmaceutical services, contract manufacturing or contract development services previously conducted in France, following the restructuring proceedings affecting Veracyte SAS, as of August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Revenue increased $44.8 million for the six months ended June 30, 2026 compared to the same period in 2025. This was primarily due to a $51.2 million increase in testing revenue partially offset by a $6.8 million decrease in our biopharmaceutical and other revenue. The 22% growth in testing revenue was primarily driven by a 16% volume increase, as well as improved ASP and prior period collections. The Biopharmaceutical and other revenue decrease was </w:t>
      </w:r>
      <w:r>
        <w:rPr>
          <w:rFonts w:ascii="Times New Roman;serif" w:hAnsi="Times New Roman;serif"/>
          <w:b w:val="false"/>
          <w:color w:val="231F20"/>
          <w:sz w:val="20"/>
        </w:rPr>
        <w:t>due to the discontinuation of biopharmaceutical services, contract manufacturing or contract development services previously conducted in France, following the restructuring proceedings affecting Veracyte SAS, as of August 2025.</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$0.3 million and $0.4 million for the three and six months ended June 30, 2026, respectively, compared to the same periods in 2025.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0"/>
        <w:ind w:left="0" w:right="0" w:firstLine="135"/>
        <w:jc w:val="center"/>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the three and six months ended June 30, 2026 and 2025 is as follows (in thousands of dollars, except percentages):</w:t>
      </w:r>
    </w:p>
    <w:p>
      <w:pPr>
        <w:pStyle w:val="TextBody"/>
        <w:bidi w:val="0"/>
        <w:spacing w:lineRule="auto" w:line="288" w:before="0" w:after="0"/>
        <w:ind w:left="0" w:right="0" w:firstLine="135"/>
        <w:jc w:val="left"/>
        <w:rPr>
          <w:color w:val="000000"/>
        </w:rPr>
      </w:pPr>
      <w:r>
        <w:rPr>
          <w:color w:val="000000"/>
        </w:rPr>
        <w:t> </w:t>
      </w:r>
    </w:p>
    <w:tbl>
      <w:tblPr>
        <w:tblW w:w="10670" w:type="dxa"/>
        <w:jc w:val="center"/>
        <w:tblInd w:w="0" w:type="dxa"/>
        <w:tblLayout w:type="fixed"/>
        <w:tblCellMar>
          <w:top w:w="28" w:type="dxa"/>
          <w:left w:w="28" w:type="dxa"/>
          <w:bottom w:w="28" w:type="dxa"/>
          <w:right w:w="28" w:type="dxa"/>
        </w:tblCellMar>
      </w:tblPr>
      <w:tblGrid>
        <w:gridCol w:w="965"/>
        <w:gridCol w:w="215"/>
        <w:gridCol w:w="216"/>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7"/>
        <w:gridCol w:w="219"/>
        <w:gridCol w:w="256"/>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6"/>
        <w:gridCol w:w="220"/>
        <w:gridCol w:w="301"/>
      </w:tblGrid>
      <w:tr>
        <w:trPr/>
        <w:tc>
          <w:tcPr>
            <w:tcW w:w="9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testing revenue: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supplies and reagents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Sample collection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Cytopathology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biopharmaceutical and other revenue:</w:t>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cost of revenue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testing revenue increased $3.9 million, or 12%, for the three months ended June 30, 2026 compared to the same period in 2025. The increase in cost of testing revenue was due to increased volume in testing, higher staffing to support higher volume and new test launches and the build out of infrastructure related to current and future growth expectations, and the assignment of customer service expenses directly to cost of revenue. These increases were partially offset by lab efficiencies and lower allocated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testing revenue increased $8.9 million, or 15%, for the six months ended June 30, 2026 compared to the same period in 2025. The increase in cost of testing revenue was due to increased volume in testing, higher staffing to support higher volume, the build out of infrastructure related to current and future growth expectations, and the assignment of customer service expenses directly to cost of revenue. These increases were partially offset by lab efficiencies and lower allocated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 revenue increased $0.8 million, or 44%, for the three months ended June 30, 2026 and increased $1.2 million, or 39%, for the six months ended June 30, 2026 compared to the same periods in 2025. The increase for the three and six months ended June 30, 2026 is primarily related to the transition to contract manufacturing of Prosigna kits.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biopharmaceutical and other revenue includes labor costs, laboratory supplies and pass-through expenses incurred. Cost of biopharmaceutical and other revenue for the three and six months ended June 30, 2026 decreased by $3.4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$6.1 million, respectively, compared to the same periods in 2025, driven primarily by a continued decline in biopharmaceutical services, as well as contract development and manufacturing services projects as a result of the restructuring proceedings affecting Veracyte SAS that were underway throughout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$13.2 million, or 81%, for the three months ended June 30, 2026 compared to the same period in 2025. The increase was primarily due to a $6.5 million increase from the assignment of research and development related software expenses previously accounted for in general and administrative which had been partially allocated. This was due to these expenses now being fully dedicated to product development objectives. General and administrative expense allocations and compensation expense associated with added headcount and annual merit increases also increased. Spend supporting direct research and product development expense related to our ongoing development costs for our CLIA tests increased but was partially offset by the impact of the deconsolidation of Veracyte SAS in August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$22.6 million, or 66%, for the six months ended June 30, 2026 compared to the same period in 2025. The increase was primarily due to a $12.5 million increase from the assignment of research and development related software expenses previously accounted for in general and administrative which had been partially allocated. Spend supporting direct research and product development expense related to our ongoing development costs for our CLIA tests and MRD strategies increased but was partially offset by the impact of the deconsolidation of Veracyte SAS in August 2025.</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and marketing</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increased $2.9 million, or 12%, for the three months ended June 30, 2026 compared to the same period in 2025. The increase was primarily due to annual compensation increases and headcount additions. Direct marketing expense increased primarily due to tradeshow costs and expenses related to the launch of new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increased $5.6 million, or 11%, for the six months ended June 30, 2026 compared to the same period in 2025. The increase was primarily due to annual merit increases and headcount additions. Direct marketing expense increased primarily due to website design costs and expenses related to the launch of Prosigna as an LDT.</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by $4.9 million for the three months ended June 30, 2026, compared to the same period in 2025. The results were impacted primarily by a $6.5 million decrease related to the assignment of software development expenses, previously included in General and administrative expense allocations, directly to research and development, the assignment of customer service expenses directly to cost of revenue, as well as a decline in professional fees related to lower legal, audit and tax fees in the quarter. These decreases were offset by hiring across billing and support functions to enable the growth and fewer allocations compared to the prior year.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by $15.0 million for the six months ended June 30, 2026, compared to the same period in 2025. The results were impacted primarily by a $12.5 million decrease related to the assignment of software development expenses, previously included in General and administrative expense allocations, directly to research and development, the assignment of customer service expenses directly to cost of revenue, as well as a decline in professional fees related to lower legal, audit and tax fees. These decreases were offset by fewer allocations and reductions in the revaluation of contingent consideration related to the acquisition of C2i recognized in the prior year. General and administrative expenses related to occupancy costs and information technology costs, excluding software development, are allocated to general and administrative expense, selling and marketing expense, research and development expense, and cost of revenue based on the headcount and employee location.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$3.0 million for the three months ended June 30, 2026 compared to the same period in 2025, primarily due to a decrease of $3.7 million due to foreign currency revaluation, partially offset by an increase of $0.9 million from interest income.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$0.2 million for the six months ended June 30, 2026 compared to the same period in 2025, primarily due to a decrease of $5.2 million due to foreign currency revaluation, partially offset by the settlement of escrow claims of $4.2 million and an increase of $1.7 million from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income tax expense of $1.0 million and $2.2 million for the three months ended June 30, 2026 and 2025, respectively, and recorded income tax expense of $2.3 million and $2.6 million for the six months ended June 30, 2026 and 2025,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Given our current earnings, we believe that, within the next 12 months,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pStyle w:val="TextBody"/>
        <w:bidi w:val="0"/>
        <w:spacing w:before="0" w:after="0"/>
        <w:ind w:left="0" w:right="0" w:firstLine="8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and short-term investments of $485.2 million. During the six months ended June 30, 2026, our cash and cash equivalents and short-term investments increased by $72.3 million. Historically, we have obtained financing primarily through sales of our equity securities. Beginning in 2023, our operations have been financed primarily by cash flows generated by our revenue. For the six months ended June 30, 2026, we had net income of $54.2 million, but we may not sustain profitability in the future. As of June 30, 2026, we had an accumulated deficit of $323.4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generate cash and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ongoing instability in the global credit markets or the banking system may impact our liquidity both in the short term and long term.</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the following obligations: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and laboratory facilities in the U.S., including in South San Francisco and San Diego, California and Austin, Texas. Effective August 2025, in connection with the restructuring proceeding in Veracyte SAS, we are no longer a party to the lease in Marseille, France. The lease terms of our leases as of June 30, 2026 extend to March 2040 and contain extension of lease term and expansion options. As of June 30, 2026, the leases have a weighted average remaining lease term of 10.9 years and total future minimum lease payments of $71.1 million.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2026 and 2025 (in thousands of dollars): </w:t>
      </w:r>
    </w:p>
    <w:p>
      <w:pPr>
        <w:pStyle w:val="TextBody"/>
        <w:bidi w:val="0"/>
        <w:spacing w:lineRule="auto" w:line="288" w:before="0" w:after="0"/>
        <w:ind w:left="0" w:right="0" w:firstLine="855"/>
        <w:jc w:val="both"/>
        <w:rPr>
          <w:color w:val="000000"/>
        </w:rPr>
      </w:pPr>
      <w:r>
        <w:rPr>
          <w:color w:val="000000"/>
        </w:rPr>
        <w:t> </w:t>
      </w:r>
    </w:p>
    <w:tbl>
      <w:tblPr>
        <w:tblW w:w="5275" w:type="dxa"/>
        <w:jc w:val="left"/>
        <w:tblInd w:w="0" w:type="dxa"/>
        <w:tblLayout w:type="fixed"/>
        <w:tblCellMar>
          <w:top w:w="28" w:type="dxa"/>
          <w:left w:w="28" w:type="dxa"/>
          <w:bottom w:w="28" w:type="dxa"/>
          <w:right w:w="28" w:type="dxa"/>
        </w:tblCellMar>
      </w:tblPr>
      <w:tblGrid>
        <w:gridCol w:w="1087"/>
        <w:gridCol w:w="952"/>
        <w:gridCol w:w="960"/>
        <w:gridCol w:w="196"/>
        <w:gridCol w:w="647"/>
        <w:gridCol w:w="109"/>
        <w:gridCol w:w="109"/>
        <w:gridCol w:w="109"/>
        <w:gridCol w:w="109"/>
        <w:gridCol w:w="196"/>
        <w:gridCol w:w="647"/>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35"/>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for the six months ended June 30, 2026 was $81.0 million. Our net income of $54.2 million includes non-cash charges of $26.8 million of stock-based compensation expense, $10.3 million of depreciation and amortization, of which $6.4 million was related to intangible asset amortization, non-cash lease expense of $1.4 million, amortization of discount on short-term investments of $1.3 million, non-cash gains of $0.7 million from the revaluation of contingent consideration, loss of $0.4 million on the disposal of fixed assets, and $0.1 million from the effect of foreign currency changes on operations. Cash used as a result of changes in operating assets and liabilities was $10.0 million, primarily composed of an increase in accounts receivable of $9.7 million, an increase in prepaid expenses and other current assets of $2.4 million and an increase in supplies of $2.1 million, partially offset by an increase in accounts payable of $3.8 million. </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for the six months ended June 30, 2025 was $39.0 million. Our net income of $6.1 million includes non-cash charges of $21.9 million of stock-based compensation expense, $10.9 million of depreciation and amortization, of which $6.5 million was related to intangible asset amortization, $20.5 million tied to the impairment of assets, non-cash lease expense of $1.6 million, non-cash gains of $2.9 million from the revaluation of contingent consideration, amortization of discount on short-term investments of $1.9 million and $5.1 million from the effect of foreign currency changes on operations. Cash used as a result of changes in operating assets and liabilities was $12.2 million, primarily composed of an increase in prepaid expenses and other current assets of $5.5 million, an increase in accounts receivable of $4.3 million, a decrease in accrued liabilities and deferred revenue of $2.1 million, and an increase in supplies and inventory of $2.9 million, partially offset by an increase in accounts payable of $3.1 million. </w:t>
      </w:r>
    </w:p>
    <w:p>
      <w:pPr>
        <w:pStyle w:val="TextBody"/>
        <w:bidi w:val="0"/>
        <w:spacing w:before="0" w:after="0"/>
        <w:ind w:left="0" w:right="0" w:firstLine="855"/>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2026 was $141.5 million, primarily consisting of the purchase of $134.1 million of short-term investments and $5.8 million used in the purchase of property, plant and equipment.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2025 was $52.0 million, consisting of $48.9 million from the purchase and maturity of short-term investments and $3.1 million used in the purchase of property, plant and equipment.</w:t>
      </w:r>
    </w:p>
    <w:p>
      <w:pPr>
        <w:pStyle w:val="TextBody"/>
        <w:bidi w:val="0"/>
        <w:spacing w:before="0" w:after="0"/>
        <w:ind w:left="0" w:right="0" w:firstLine="135"/>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for the six months ended June 30, 2026 was $2.5 million, consisting of $13.7 million in tax payments during the period related to the vesting of restricted stock units granted to employees, partially offset by $11.2 million in proceeds from the exercise of options to purchase our common stock and the purchase of stock under our Employee Stock Purchase Plan, or ESPP.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for the six months ended June 30, 2025 was $7.1 million, consisting of $11.8 million in tax payments during the period related to the vesting of restricted stock units granted to employees, partially offset by $4.8 million in proceeds from the exercise of options to purchase our common stock and the purchase of stock under our ESPP. </w:t>
      </w:r>
    </w:p>
    <w:p>
      <w:pPr>
        <w:pStyle w:val="TextBody"/>
        <w:bidi w:val="0"/>
        <w:spacing w:before="0" w:after="0"/>
        <w:ind w:left="0" w:right="0" w:firstLine="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recent accounting pronouncements, see Note 1, Organization, Description of Business and Summary of Significant Accounting Policies, in the notes to our condensed consolidated financial statements included elsewhere in this report.</w:t>
      </w:r>
    </w:p>
    <w:p>
      <w:pPr>
        <w:pStyle w:val="TextBody"/>
        <w:bidi w:val="0"/>
        <w:spacing w:before="0" w:after="120"/>
        <w:ind w:left="0" w:right="0" w:firstLine="45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pStyle w:val="TextBody"/>
        <w:bidi w:val="0"/>
        <w:spacing w:before="0" w:after="120"/>
        <w:ind w:left="0" w:right="0" w:firstLine="8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before="0" w:after="0"/>
        <w:ind w:left="0" w:right="0" w:firstLine="13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rates. We had cash and cash equivalents and short-term investments of $485.2 million as of June 30, 2026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held $2.2 million of bank deposits denominated in Euros. Such Euro denominated deposits carry a degree of risk from changes in currency exchange rates as the gains or losses from changes in exchange rates are included in our net income and comprehensive income (loss). As of June 30, 2026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our disclosure controls and procedures were effective as of June 30, 2026 at the reasonable assurance level.</w:t>
      </w:r>
    </w:p>
    <w:p>
      <w:pPr>
        <w:pStyle w:val="TextBody"/>
        <w:bidi w:val="0"/>
        <w:spacing w:before="0" w:after="0"/>
        <w:ind w:left="0" w:right="0" w:firstLine="135"/>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information set forth in </w:t>
      </w:r>
      <w:hyperlink w:anchor="i22bd0e762c0f4d138426bd74d8cd0553_49">
        <w:r>
          <w:rPr>
            <w:rStyle w:val="InternetLink"/>
            <w:rFonts w:ascii="Times New Roman;serif" w:hAnsi="Times New Roman;serif"/>
            <w:b w:val="false"/>
            <w:color w:val="0000FF"/>
            <w:sz w:val="20"/>
            <w:u w:val="single"/>
          </w:rPr>
          <w:t>Note 5, Commitments and Contingencies</w:t>
        </w:r>
      </w:hyperlink>
      <w:r>
        <w:rPr>
          <w:rFonts w:ascii="Times New Roman;serif" w:hAnsi="Times New Roman;serif"/>
          <w:b w:val="false"/>
          <w:color w:val="000000"/>
          <w:sz w:val="20"/>
        </w:rPr>
        <w:t>, under the heading “Contingencies,” in the notes to our condensed consolidated financial statements included elsewhere in this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 </w:t>
      </w:r>
    </w:p>
    <w:p>
      <w:pPr>
        <w:pStyle w:val="TextBody"/>
        <w:bidi w:val="0"/>
        <w:spacing w:before="0" w:after="0"/>
        <w:ind w:left="0" w:right="0" w:firstLine="14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 Insider Trading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Section 16 officers and directors adopted, modified or terminated a “Rule 10b5-1 trading arrangement” (as defined in Item 408 of Regulation S-K of the Exchange Act). None of our other officers or directors adopted, modified or terminated such “Rule 10b5-1 trading arrangements” during the three months ended June 30, 2026.</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 xml:space="preserve">Karin Eastham, Director, adopted a new trading plan on May 28, 2026 (with the first trade under the new plan scheduled for approximately August 27, 2026). The trading plan will be effective until May 7, 2027 to sell an aggregate of 23,841 shares of our common stock. </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 xml:space="preserve">Muna Bhanji, Director, adopted a new trading plan on June 2, 2026 (with the first trade under the new plan scheduled for approximately September 1, 2026). The trading plan will be effective until August 31, 2027 to sell an aggregate of 3,728 shares of our common stock. </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 xml:space="preserve">John Leite, Global Chief Commercial Officer, adopted a new trading plan on June 9, 2026 (with the first trade under the new plan scheduled for approximately September 8, 2026). The trading plan will be effective until August 13, 2027 to sell 100% of the net shares resulting from the vesting of 44,270 restricted stock units during the plan period (net shares are net of tax withholding). </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 xml:space="preserve">Jens Holstein, Director, adopted a new trading plan on June 12, 2026 (with the first trade under the new plan scheduled for approximately September 11, 2026). The trading plan will be effective until June 7, 2027 to sell an aggregate of 20,000 shares of our common stock. </w:t>
      </w:r>
    </w:p>
    <w:p>
      <w:pPr>
        <w:pStyle w:val="TextBody"/>
        <w:bidi w:val="0"/>
        <w:spacing w:before="12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firstLine="855"/>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
        <w:gridCol w:w="259"/>
        <w:gridCol w:w="260"/>
        <w:gridCol w:w="109"/>
        <w:gridCol w:w="109"/>
        <w:gridCol w:w="109"/>
        <w:gridCol w:w="1315"/>
        <w:gridCol w:w="1040"/>
        <w:gridCol w:w="1043"/>
        <w:gridCol w:w="117"/>
        <w:gridCol w:w="117"/>
        <w:gridCol w:w="117"/>
        <w:gridCol w:w="209"/>
        <w:gridCol w:w="209"/>
        <w:gridCol w:w="210"/>
        <w:gridCol w:w="117"/>
        <w:gridCol w:w="117"/>
        <w:gridCol w:w="117"/>
        <w:gridCol w:w="286"/>
        <w:gridCol w:w="265"/>
        <w:gridCol w:w="187"/>
        <w:gridCol w:w="117"/>
        <w:gridCol w:w="117"/>
        <w:gridCol w:w="117"/>
        <w:gridCol w:w="263"/>
        <w:gridCol w:w="263"/>
        <w:gridCol w:w="264"/>
        <w:gridCol w:w="117"/>
        <w:gridCol w:w="117"/>
        <w:gridCol w:w="117"/>
        <w:gridCol w:w="243"/>
        <w:gridCol w:w="243"/>
        <w:gridCol w:w="245"/>
        <w:gridCol w:w="117"/>
        <w:gridCol w:w="117"/>
        <w:gridCol w:w="117"/>
        <w:gridCol w:w="292"/>
        <w:gridCol w:w="292"/>
        <w:gridCol w:w="440"/>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Filed </w:t>
              <w:br/>
              <w:t>Herewith</w:t>
            </w:r>
          </w:p>
        </w:tc>
      </w:tr>
      <w:tr>
        <w:trPr/>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2023 Equity Incentive Plan, as Amended</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agreements under the 2023 Equity Incentive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06-30x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06-30x2026.htm">
              <w:r>
                <w:rPr>
                  <w:rStyle w:val="InternetLink"/>
                  <w:rFonts w:ascii="Times New Roman;serif" w:hAnsi="Times New Roman;serif"/>
                  <w:b w:val="false"/>
                  <w:color w:val="0000FF"/>
                  <w:sz w:val="20"/>
                  <w:u w:val="single"/>
                </w:rPr>
                <w:t>Certification of Principal Executive Officer pursuant to Rules 13a-14(a)/15d-14(a), as adopted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06-30x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06-30x2026.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06-30x2026.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06-30x2026.htm">
              <w:r>
                <w:rPr>
                  <w:rStyle w:val="InternetLink"/>
                  <w:rFonts w:ascii="Times New Roman;serif" w:hAnsi="Times New Roman;serif"/>
                  <w:b w:val="false"/>
                  <w:color w:val="0000FF"/>
                  <w:sz w:val="20"/>
                  <w:u w:val="single"/>
                </w:rPr>
                <w:t>Certification of Principal Executive Officer pursuant to 18 U.S.C. § 1350 (Section 906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206-30x2026.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6-30x2026.htm">
              <w:r>
                <w:rPr>
                  <w:rStyle w:val="InternetLink"/>
                  <w:rFonts w:ascii="Times New Roman;serif" w:hAnsi="Times New Roman;serif"/>
                  <w:b w:val="false"/>
                  <w:color w:val="0000FF"/>
                  <w:sz w:val="20"/>
                  <w:u w:val="single"/>
                </w:rPr>
                <w:t>Certification of Principal Financial Officer pursuant to 18 U.S.C. § 1350 (Section 906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8" w:type="dxa"/>
            <w:gridSpan w:val="3"/>
            <w:tcBorders/>
            <w:vAlign w:val="center"/>
          </w:tcPr>
          <w:p>
            <w:pPr>
              <w:pStyle w:val="TableContents"/>
              <w:bidi w:val="0"/>
              <w:spacing w:before="0" w:after="283"/>
              <w:jc w:val="left"/>
              <w:rPr>
                <w:sz w:val="4"/>
                <w:szCs w:val="4"/>
              </w:rPr>
            </w:pPr>
            <w:r>
              <w:rPr>
                <w:sz w:val="4"/>
                <w:szCs w:val="4"/>
              </w:rPr>
            </w:r>
          </w:p>
        </w:tc>
        <w:tc>
          <w:tcPr>
            <w:tcW w:w="5666"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2bd0e762c0f4d138426bd74d8cd055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color w:val="000000"/>
        </w:rPr>
      </w:pPr>
      <w:r>
        <w:rPr>
          <w:color w:val="000000"/>
        </w:rPr>
        <w:t> </w:t>
      </w:r>
    </w:p>
    <w:tbl>
      <w:tblPr>
        <w:tblW w:w="46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7"/>
        <w:gridCol w:w="267"/>
        <w:gridCol w:w="267"/>
        <w:gridCol w:w="267"/>
        <w:gridCol w:w="267"/>
        <w:gridCol w:w="271"/>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VERACYTE, INC.</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Rebecca Chambers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firstLine="135"/>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I, Marc Stapley, certify that: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Veracyte, Inc. for the quarter ended June 30, 2026;</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855"/>
        <w:jc w:val="center"/>
        <w:rPr>
          <w:color w:val="000000"/>
        </w:rPr>
      </w:pPr>
      <w:r>
        <w:rPr>
          <w:color w:val="000000"/>
        </w:rPr>
        <w:t> </w:t>
      </w:r>
    </w:p>
    <w:tbl>
      <w:tblPr>
        <w:tblW w:w="47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5"/>
        <w:gridCol w:w="135"/>
        <w:gridCol w:w="135"/>
        <w:gridCol w:w="135"/>
        <w:gridCol w:w="135"/>
        <w:gridCol w:w="135"/>
        <w:gridCol w:w="135"/>
        <w:gridCol w:w="135"/>
        <w:gridCol w:w="135"/>
        <w:gridCol w:w="266"/>
        <w:gridCol w:w="266"/>
        <w:gridCol w:w="266"/>
        <w:gridCol w:w="266"/>
        <w:gridCol w:w="266"/>
        <w:gridCol w:w="266"/>
        <w:gridCol w:w="266"/>
        <w:gridCol w:w="266"/>
        <w:gridCol w:w="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I, Rebecca Chambers, certify that: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Veracyte, Inc. for the quarter ended June 30, 2026;</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85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6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135"/>
        <w:jc w:val="center"/>
        <w:rPr>
          <w:color w:val="000000"/>
        </w:rPr>
      </w:pPr>
      <w:r>
        <w:rPr>
          <w:color w:val="000000"/>
        </w:rPr>
        <w:t> </w:t>
      </w:r>
    </w:p>
    <w:tbl>
      <w:tblPr>
        <w:tblW w:w="47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5"/>
        <w:gridCol w:w="135"/>
        <w:gridCol w:w="135"/>
        <w:gridCol w:w="135"/>
        <w:gridCol w:w="135"/>
        <w:gridCol w:w="135"/>
        <w:gridCol w:w="135"/>
        <w:gridCol w:w="135"/>
        <w:gridCol w:w="135"/>
        <w:gridCol w:w="267"/>
        <w:gridCol w:w="267"/>
        <w:gridCol w:w="267"/>
        <w:gridCol w:w="267"/>
        <w:gridCol w:w="267"/>
        <w:gridCol w:w="267"/>
        <w:gridCol w:w="267"/>
        <w:gridCol w:w="267"/>
        <w:gridCol w:w="3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Veracyte, Inc.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5"/>
        <w:gridCol w:w="135"/>
        <w:gridCol w:w="135"/>
        <w:gridCol w:w="135"/>
        <w:gridCol w:w="135"/>
        <w:gridCol w:w="135"/>
        <w:gridCol w:w="135"/>
        <w:gridCol w:w="135"/>
        <w:gridCol w:w="135"/>
        <w:gridCol w:w="266"/>
        <w:gridCol w:w="266"/>
        <w:gridCol w:w="266"/>
        <w:gridCol w:w="266"/>
        <w:gridCol w:w="266"/>
        <w:gridCol w:w="266"/>
        <w:gridCol w:w="266"/>
        <w:gridCol w:w="266"/>
        <w:gridCol w:w="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ind w:left="0" w:right="0" w:firstLine="135"/>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35"/>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Veracyte, Inc.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5"/>
        <w:gridCol w:w="135"/>
        <w:gridCol w:w="135"/>
        <w:gridCol w:w="135"/>
        <w:gridCol w:w="135"/>
        <w:gridCol w:w="135"/>
        <w:gridCol w:w="135"/>
        <w:gridCol w:w="135"/>
        <w:gridCol w:w="135"/>
        <w:gridCol w:w="267"/>
        <w:gridCol w:w="267"/>
        <w:gridCol w:w="267"/>
        <w:gridCol w:w="267"/>
        <w:gridCol w:w="267"/>
        <w:gridCol w:w="267"/>
        <w:gridCol w:w="267"/>
        <w:gridCol w:w="267"/>
        <w:gridCol w:w="3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firstLine="135"/>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84101/000138410126000038/ex1018-k06x10x2026.htm" TargetMode="External"/><Relationship Id="rId3" Type="http://schemas.openxmlformats.org/officeDocument/2006/relationships/hyperlink" Target="https://www.sec.gov/Archives/edgar/data/1384101/000138410126000038/ex1018-k06x10x2026.htm" TargetMode="External"/><Relationship Id="rId4" Type="http://schemas.openxmlformats.org/officeDocument/2006/relationships/hyperlink" Target="https://www.sec.gov/Archives/edgar/data/1384101/000138410123000112/ex10-2x2023eipformofagreem.htm" TargetMode="External"/><Relationship Id="rId5" Type="http://schemas.openxmlformats.org/officeDocument/2006/relationships/hyperlink" Target="https://www.sec.gov/Archives/edgar/data/1384101/000138410123000112/ex10-2x2023eipformofagreem.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18178</Words>
  <Characters>101960</Characters>
  <CharactersWithSpaces>119193</CharactersWithSpaces>
  <Paragraphs>2892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