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2461260</wp:posOffset>
            </wp:positionH>
            <wp:positionV relativeFrom="paragraph">
              <wp:posOffset>78740</wp:posOffset>
            </wp:positionV>
            <wp:extent cx="22205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3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165735</wp:posOffset>
            </wp:positionV>
            <wp:extent cx="22205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32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6" w:lineRule="exact"/>
        <w:rPr>
          <w:sz w:val="24"/>
          <w:szCs w:val="24"/>
          <w:color w:val="auto"/>
        </w:rPr>
      </w:pPr>
    </w:p>
    <w:p>
      <w:pPr>
        <w:ind w:left="380" w:hanging="33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380" w:hanging="336"/>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12" w:lineRule="exact"/>
        <w:rPr>
          <w:sz w:val="24"/>
          <w:szCs w:val="24"/>
          <w:color w:val="auto"/>
        </w:rPr>
      </w:pPr>
    </w:p>
    <w:tbl>
      <w:tblPr>
        <w:tblLayout w:type="fixed"/>
        <w:tblInd w:w="3880" w:type="dxa"/>
        <w:tblCellMar>
          <w:top w:w="0" w:type="dxa"/>
          <w:left w:w="0" w:type="dxa"/>
          <w:bottom w:w="0" w:type="dxa"/>
          <w:right w:w="0" w:type="dxa"/>
        </w:tblCellMar>
      </w:tblPr>
      <w:tr>
        <w:trPr>
          <w:trHeight w:val="234"/>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425"/>
        </w:trPr>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Commission file number 001-36156</w:t>
            </w:r>
          </w:p>
        </w:tc>
      </w:tr>
      <w:tr>
        <w:trPr>
          <w:trHeight w:val="106"/>
        </w:trPr>
        <w:tc>
          <w:tcPr>
            <w:tcW w:w="26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bl>
    <w:p>
      <w:pPr>
        <w:spacing w:after="0" w:line="201" w:lineRule="exact"/>
        <w:rPr>
          <w:sz w:val="24"/>
          <w:szCs w:val="24"/>
          <w:color w:val="auto"/>
        </w:rPr>
      </w:pPr>
    </w:p>
    <w:tbl>
      <w:tblPr>
        <w:tblLayout w:type="fixed"/>
        <w:tblInd w:w="800" w:type="dxa"/>
        <w:tblCellMar>
          <w:top w:w="0" w:type="dxa"/>
          <w:left w:w="0" w:type="dxa"/>
          <w:bottom w:w="0" w:type="dxa"/>
          <w:right w:w="0" w:type="dxa"/>
        </w:tblCellMar>
      </w:tblPr>
      <w:tr>
        <w:trPr>
          <w:trHeight w:val="365"/>
        </w:trPr>
        <w:tc>
          <w:tcPr>
            <w:tcW w:w="2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20" w:type="dxa"/>
            <w:vAlign w:val="bottom"/>
            <w:gridSpan w:val="2"/>
          </w:tcPr>
          <w:p>
            <w:pPr>
              <w:jc w:val="center"/>
              <w:ind w:right="2431"/>
              <w:spacing w:after="0"/>
              <w:rPr>
                <w:sz w:val="20"/>
                <w:szCs w:val="20"/>
                <w:color w:val="auto"/>
              </w:rPr>
            </w:pPr>
            <w:r>
              <w:rPr>
                <w:rFonts w:ascii="Times New Roman" w:cs="Times New Roman" w:eastAsia="Times New Roman" w:hAnsi="Times New Roman"/>
                <w:sz w:val="28"/>
                <w:szCs w:val="28"/>
                <w:b w:val="1"/>
                <w:bCs w:val="1"/>
                <w:color w:val="auto"/>
              </w:rPr>
              <w:t>VERACYTE, INC.</w:t>
            </w:r>
          </w:p>
        </w:tc>
      </w:tr>
      <w:tr>
        <w:trPr>
          <w:trHeight w:val="232"/>
        </w:trPr>
        <w:tc>
          <w:tcPr>
            <w:tcW w:w="2560" w:type="dxa"/>
            <w:vAlign w:val="bottom"/>
          </w:tcPr>
          <w:p>
            <w:pPr>
              <w:spacing w:after="0"/>
              <w:rPr>
                <w:sz w:val="20"/>
                <w:szCs w:val="20"/>
                <w:color w:val="auto"/>
              </w:rPr>
            </w:pPr>
          </w:p>
        </w:tc>
        <w:tc>
          <w:tcPr>
            <w:tcW w:w="6640" w:type="dxa"/>
            <w:vAlign w:val="bottom"/>
            <w:gridSpan w:val="3"/>
          </w:tcPr>
          <w:p>
            <w:pPr>
              <w:jc w:val="center"/>
              <w:ind w:right="1891"/>
              <w:spacing w:after="0"/>
              <w:rPr>
                <w:sz w:val="20"/>
                <w:szCs w:val="20"/>
                <w:color w:val="auto"/>
              </w:rPr>
            </w:pPr>
            <w:r>
              <w:rPr>
                <w:rFonts w:ascii="Times New Roman" w:cs="Times New Roman" w:eastAsia="Times New Roman" w:hAnsi="Times New Roman"/>
                <w:sz w:val="18"/>
                <w:szCs w:val="18"/>
                <w:color w:val="auto"/>
                <w:w w:val="98"/>
              </w:rPr>
              <w:t>(Exact name of registrant as specified in its charter)</w:t>
            </w:r>
          </w:p>
        </w:tc>
      </w:tr>
      <w:tr>
        <w:trPr>
          <w:trHeight w:val="265"/>
        </w:trPr>
        <w:tc>
          <w:tcPr>
            <w:tcW w:w="2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2620" w:type="dxa"/>
            <w:vAlign w:val="bottom"/>
          </w:tcPr>
          <w:p>
            <w:pPr>
              <w:spacing w:after="0"/>
              <w:rPr>
                <w:sz w:val="23"/>
                <w:szCs w:val="23"/>
                <w:color w:val="auto"/>
              </w:rPr>
            </w:pPr>
          </w:p>
        </w:tc>
      </w:tr>
      <w:tr>
        <w:trPr>
          <w:trHeight w:val="334"/>
        </w:trPr>
        <w:tc>
          <w:tcPr>
            <w:tcW w:w="2560" w:type="dxa"/>
            <w:vAlign w:val="bottom"/>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640" w:type="dxa"/>
            <w:vAlign w:val="bottom"/>
            <w:gridSpan w:val="3"/>
          </w:tcPr>
          <w:p>
            <w:pPr>
              <w:jc w:val="center"/>
              <w:ind w:left="5231"/>
              <w:spacing w:after="0"/>
              <w:rPr>
                <w:sz w:val="20"/>
                <w:szCs w:val="20"/>
                <w:color w:val="auto"/>
              </w:rPr>
            </w:pPr>
            <w:r>
              <w:rPr>
                <w:rFonts w:ascii="Times New Roman" w:cs="Times New Roman" w:eastAsia="Times New Roman" w:hAnsi="Times New Roman"/>
                <w:sz w:val="18"/>
                <w:szCs w:val="18"/>
                <w:b w:val="1"/>
                <w:bCs w:val="1"/>
                <w:color w:val="auto"/>
                <w:w w:val="96"/>
              </w:rPr>
              <w:t>20-5455398</w:t>
            </w:r>
          </w:p>
        </w:tc>
      </w:tr>
      <w:tr>
        <w:trPr>
          <w:trHeight w:val="226"/>
        </w:trPr>
        <w:tc>
          <w:tcPr>
            <w:tcW w:w="256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5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620" w:type="dxa"/>
            <w:vAlign w:val="bottom"/>
          </w:tcPr>
          <w:p>
            <w:pPr>
              <w:jc w:val="center"/>
              <w:ind w:left="1211"/>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32"/>
        </w:trPr>
        <w:tc>
          <w:tcPr>
            <w:tcW w:w="256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5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20" w:type="dxa"/>
            <w:vAlign w:val="bottom"/>
          </w:tcPr>
          <w:p>
            <w:pPr>
              <w:jc w:val="center"/>
              <w:ind w:left="1211"/>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84"/>
        </w:trPr>
        <w:tc>
          <w:tcPr>
            <w:tcW w:w="2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20" w:type="dxa"/>
            <w:vAlign w:val="bottom"/>
            <w:gridSpan w:val="2"/>
          </w:tcPr>
          <w:p>
            <w:pPr>
              <w:jc w:val="center"/>
              <w:ind w:right="2431"/>
              <w:spacing w:after="0"/>
              <w:rPr>
                <w:sz w:val="20"/>
                <w:szCs w:val="20"/>
                <w:color w:val="auto"/>
              </w:rPr>
            </w:pPr>
            <w:r>
              <w:rPr>
                <w:rFonts w:ascii="Times New Roman" w:cs="Times New Roman" w:eastAsia="Times New Roman" w:hAnsi="Times New Roman"/>
                <w:sz w:val="18"/>
                <w:szCs w:val="18"/>
                <w:b w:val="1"/>
                <w:bCs w:val="1"/>
                <w:color w:val="auto"/>
                <w:w w:val="98"/>
              </w:rPr>
              <w:t>6000 Shoreline Court, Suite 300</w:t>
            </w:r>
          </w:p>
        </w:tc>
      </w:tr>
      <w:tr>
        <w:trPr>
          <w:trHeight w:val="215"/>
        </w:trPr>
        <w:tc>
          <w:tcPr>
            <w:tcW w:w="2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120" w:type="dxa"/>
            <w:vAlign w:val="bottom"/>
            <w:gridSpan w:val="2"/>
          </w:tcPr>
          <w:p>
            <w:pPr>
              <w:jc w:val="center"/>
              <w:ind w:right="2431"/>
              <w:spacing w:after="0"/>
              <w:rPr>
                <w:sz w:val="20"/>
                <w:szCs w:val="20"/>
                <w:color w:val="auto"/>
              </w:rPr>
            </w:pPr>
            <w:r>
              <w:rPr>
                <w:rFonts w:ascii="Times New Roman" w:cs="Times New Roman" w:eastAsia="Times New Roman" w:hAnsi="Times New Roman"/>
                <w:sz w:val="18"/>
                <w:szCs w:val="18"/>
                <w:b w:val="1"/>
                <w:bCs w:val="1"/>
                <w:color w:val="auto"/>
                <w:w w:val="98"/>
              </w:rPr>
              <w:t>South San Francisco, California 94080</w:t>
            </w:r>
          </w:p>
        </w:tc>
      </w:tr>
      <w:tr>
        <w:trPr>
          <w:trHeight w:val="232"/>
        </w:trPr>
        <w:tc>
          <w:tcPr>
            <w:tcW w:w="2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120" w:type="dxa"/>
            <w:vAlign w:val="bottom"/>
            <w:gridSpan w:val="2"/>
          </w:tcPr>
          <w:p>
            <w:pPr>
              <w:jc w:val="center"/>
              <w:ind w:right="2411"/>
              <w:spacing w:after="0"/>
              <w:rPr>
                <w:sz w:val="20"/>
                <w:szCs w:val="20"/>
                <w:color w:val="auto"/>
              </w:rPr>
            </w:pPr>
            <w:r>
              <w:rPr>
                <w:rFonts w:ascii="Times New Roman" w:cs="Times New Roman" w:eastAsia="Times New Roman" w:hAnsi="Times New Roman"/>
                <w:sz w:val="18"/>
                <w:szCs w:val="18"/>
                <w:color w:val="auto"/>
                <w:w w:val="98"/>
              </w:rPr>
              <w:t>(Address of principal executive offices, zip code)</w:t>
            </w:r>
          </w:p>
        </w:tc>
      </w:tr>
      <w:tr>
        <w:trPr>
          <w:trHeight w:val="406"/>
        </w:trPr>
        <w:tc>
          <w:tcPr>
            <w:tcW w:w="2560" w:type="dxa"/>
            <w:vAlign w:val="bottom"/>
          </w:tcPr>
          <w:p>
            <w:pPr>
              <w:spacing w:after="0"/>
              <w:rPr>
                <w:sz w:val="24"/>
                <w:szCs w:val="24"/>
                <w:color w:val="auto"/>
              </w:rPr>
            </w:pPr>
          </w:p>
        </w:tc>
        <w:tc>
          <w:tcPr>
            <w:tcW w:w="402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rPr>
              <w:t>(650) 243-6300</w:t>
            </w:r>
          </w:p>
        </w:tc>
        <w:tc>
          <w:tcPr>
            <w:tcW w:w="2620" w:type="dxa"/>
            <w:vAlign w:val="bottom"/>
          </w:tcPr>
          <w:p>
            <w:pPr>
              <w:spacing w:after="0"/>
              <w:rPr>
                <w:sz w:val="24"/>
                <w:szCs w:val="24"/>
                <w:color w:val="auto"/>
              </w:rPr>
            </w:pPr>
          </w:p>
        </w:tc>
      </w:tr>
      <w:tr>
        <w:trPr>
          <w:trHeight w:val="232"/>
        </w:trPr>
        <w:tc>
          <w:tcPr>
            <w:tcW w:w="2560" w:type="dxa"/>
            <w:vAlign w:val="bottom"/>
          </w:tcPr>
          <w:p>
            <w:pPr>
              <w:spacing w:after="0"/>
              <w:rPr>
                <w:sz w:val="20"/>
                <w:szCs w:val="20"/>
                <w:color w:val="auto"/>
              </w:rPr>
            </w:pPr>
          </w:p>
        </w:tc>
        <w:tc>
          <w:tcPr>
            <w:tcW w:w="6640" w:type="dxa"/>
            <w:vAlign w:val="bottom"/>
            <w:gridSpan w:val="3"/>
          </w:tcPr>
          <w:p>
            <w:pPr>
              <w:jc w:val="center"/>
              <w:ind w:right="1911"/>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2461260</wp:posOffset>
            </wp:positionH>
            <wp:positionV relativeFrom="paragraph">
              <wp:posOffset>176530</wp:posOffset>
            </wp:positionV>
            <wp:extent cx="22205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3520" w:type="dxa"/>
            <w:vAlign w:val="bottom"/>
          </w:tcPr>
          <w:p>
            <w:pPr>
              <w:spacing w:after="0"/>
              <w:rPr>
                <w:sz w:val="20"/>
                <w:szCs w:val="20"/>
                <w:color w:val="auto"/>
              </w:rPr>
            </w:pPr>
          </w:p>
        </w:tc>
        <w:tc>
          <w:tcPr>
            <w:tcW w:w="42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8"/>
              </w:rPr>
              <w:t>Securities registered pursuant to Section 12(b) of the Act:</w:t>
            </w:r>
          </w:p>
        </w:tc>
        <w:tc>
          <w:tcPr>
            <w:tcW w:w="3500" w:type="dxa"/>
            <w:vAlign w:val="bottom"/>
          </w:tcPr>
          <w:p>
            <w:pPr>
              <w:spacing w:after="0"/>
              <w:rPr>
                <w:sz w:val="20"/>
                <w:szCs w:val="20"/>
                <w:color w:val="auto"/>
              </w:rPr>
            </w:pPr>
          </w:p>
        </w:tc>
      </w:tr>
      <w:tr>
        <w:trPr>
          <w:trHeight w:val="544"/>
        </w:trPr>
        <w:tc>
          <w:tcPr>
            <w:tcW w:w="3520" w:type="dxa"/>
            <w:vAlign w:val="bottom"/>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50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Name of each exchange on which registered</w:t>
            </w:r>
          </w:p>
        </w:tc>
      </w:tr>
      <w:tr>
        <w:trPr>
          <w:trHeight w:val="225"/>
        </w:trPr>
        <w:tc>
          <w:tcPr>
            <w:tcW w:w="3520" w:type="dxa"/>
            <w:vAlign w:val="bottom"/>
            <w:tcBorders>
              <w:top w:val="single" w:sz="8" w:color="auto"/>
            </w:tcBorders>
          </w:tcPr>
          <w:p>
            <w:pPr>
              <w:jc w:val="center"/>
              <w:ind w:left="71"/>
              <w:spacing w:after="0"/>
              <w:rPr>
                <w:sz w:val="20"/>
                <w:szCs w:val="20"/>
                <w:color w:val="auto"/>
              </w:rPr>
            </w:pPr>
            <w:r>
              <w:rPr>
                <w:rFonts w:ascii="Times New Roman" w:cs="Times New Roman" w:eastAsia="Times New Roman" w:hAnsi="Times New Roman"/>
                <w:sz w:val="18"/>
                <w:szCs w:val="18"/>
                <w:color w:val="auto"/>
                <w:w w:val="98"/>
              </w:rPr>
              <w:t>Common Stock, par value, $0.001 per share</w:t>
            </w:r>
          </w:p>
        </w:tc>
        <w:tc>
          <w:tcPr>
            <w:tcW w:w="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VCYT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500" w:type="dxa"/>
            <w:vAlign w:val="bottom"/>
            <w:tcBorders>
              <w:top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8"/>
              </w:rPr>
              <w:t>The Nasdaq Stock Market LLC</w:t>
            </w:r>
          </w:p>
        </w:tc>
      </w:tr>
    </w:tbl>
    <w:p>
      <w:pPr>
        <w:spacing w:after="0" w:line="282" w:lineRule="exact"/>
        <w:rPr>
          <w:sz w:val="24"/>
          <w:szCs w:val="24"/>
          <w:color w:val="auto"/>
        </w:rPr>
      </w:pPr>
    </w:p>
    <w:p>
      <w:pPr>
        <w:ind w:right="20" w:firstLine="439"/>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8" w:lineRule="exact"/>
        <w:rPr>
          <w:sz w:val="24"/>
          <w:szCs w:val="24"/>
          <w:color w:val="auto"/>
        </w:rPr>
      </w:pPr>
    </w:p>
    <w:p>
      <w:pPr>
        <w:ind w:right="80" w:firstLine="439"/>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654685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0"/>
          <w:szCs w:val="20"/>
          <w:color w:val="auto"/>
        </w:rPr>
      </w:pPr>
    </w:p>
    <w:tbl>
      <w:tblPr>
        <w:tblLayout w:type="fixed"/>
        <w:tblInd w:w="1160" w:type="dxa"/>
        <w:tblCellMar>
          <w:top w:w="0" w:type="dxa"/>
          <w:left w:w="0" w:type="dxa"/>
          <w:bottom w:w="0" w:type="dxa"/>
          <w:right w:w="0" w:type="dxa"/>
        </w:tblCellMar>
      </w:tblPr>
      <w:tr>
        <w:trPr>
          <w:trHeight w:val="226"/>
        </w:trPr>
        <w:tc>
          <w:tcPr>
            <w:tcW w:w="2240" w:type="dxa"/>
            <w:vAlign w:val="bottom"/>
          </w:tcPr>
          <w:p>
            <w:pPr>
              <w:jc w:val="center"/>
              <w:ind w:right="551"/>
              <w:spacing w:after="0"/>
              <w:rPr>
                <w:sz w:val="20"/>
                <w:szCs w:val="20"/>
                <w:color w:val="auto"/>
              </w:rPr>
            </w:pPr>
            <w:r>
              <w:rPr>
                <w:rFonts w:ascii="Times New Roman" w:cs="Times New Roman" w:eastAsia="Times New Roman" w:hAnsi="Times New Roman"/>
                <w:sz w:val="18"/>
                <w:szCs w:val="18"/>
                <w:color w:val="auto"/>
                <w:w w:val="98"/>
              </w:rPr>
              <w:t>Large accelerated filer</w:t>
            </w:r>
          </w:p>
        </w:tc>
        <w:tc>
          <w:tcPr>
            <w:tcW w:w="2660" w:type="dxa"/>
            <w:vAlign w:val="bottom"/>
          </w:tcPr>
          <w:p>
            <w:pPr>
              <w:ind w:left="640"/>
              <w:spacing w:after="0"/>
              <w:rPr>
                <w:sz w:val="20"/>
                <w:szCs w:val="20"/>
                <w:color w:val="auto"/>
              </w:rPr>
            </w:pPr>
            <w:r>
              <w:rPr>
                <w:rFonts w:ascii="Wingdings" w:cs="Wingdings" w:eastAsia="Wingdings" w:hAnsi="Wingdings"/>
                <w:sz w:val="18"/>
                <w:szCs w:val="18"/>
                <w:b w:val="1"/>
                <w:bCs w:val="1"/>
                <w:color w:val="auto"/>
              </w:rPr>
              <w:t>x</w:t>
            </w:r>
          </w:p>
        </w:tc>
        <w:tc>
          <w:tcPr>
            <w:tcW w:w="4340" w:type="dxa"/>
            <w:vAlign w:val="bottom"/>
          </w:tcPr>
          <w:p>
            <w:pPr>
              <w:jc w:val="center"/>
              <w:ind w:left="1231"/>
              <w:spacing w:after="0"/>
              <w:rPr>
                <w:sz w:val="20"/>
                <w:szCs w:val="20"/>
                <w:color w:val="auto"/>
              </w:rPr>
            </w:pPr>
            <w:r>
              <w:rPr>
                <w:rFonts w:ascii="Times New Roman" w:cs="Times New Roman" w:eastAsia="Times New Roman" w:hAnsi="Times New Roman"/>
                <w:sz w:val="18"/>
                <w:szCs w:val="18"/>
                <w:color w:val="auto"/>
                <w:w w:val="97"/>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6"/>
        </w:trPr>
        <w:tc>
          <w:tcPr>
            <w:tcW w:w="224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w w:val="98"/>
              </w:rPr>
              <w:t>Non-accelerated filer</w:t>
            </w:r>
          </w:p>
        </w:tc>
        <w:tc>
          <w:tcPr>
            <w:tcW w:w="26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340" w:type="dxa"/>
            <w:vAlign w:val="bottom"/>
          </w:tcPr>
          <w:p>
            <w:pPr>
              <w:jc w:val="center"/>
              <w:ind w:left="1191"/>
              <w:spacing w:after="0"/>
              <w:rPr>
                <w:sz w:val="20"/>
                <w:szCs w:val="20"/>
                <w:color w:val="auto"/>
              </w:rPr>
            </w:pPr>
            <w:r>
              <w:rPr>
                <w:rFonts w:ascii="Times New Roman" w:cs="Times New Roman" w:eastAsia="Times New Roman" w:hAnsi="Times New Roman"/>
                <w:sz w:val="18"/>
                <w:szCs w:val="18"/>
                <w:color w:val="auto"/>
                <w:w w:val="98"/>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6"/>
        </w:trPr>
        <w:tc>
          <w:tcPr>
            <w:tcW w:w="2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340" w:type="dxa"/>
            <w:vAlign w:val="bottom"/>
          </w:tcPr>
          <w:p>
            <w:pPr>
              <w:jc w:val="center"/>
              <w:ind w:left="1191"/>
              <w:spacing w:after="0"/>
              <w:rPr>
                <w:sz w:val="20"/>
                <w:szCs w:val="20"/>
                <w:color w:val="auto"/>
              </w:rPr>
            </w:pPr>
            <w:r>
              <w:rPr>
                <w:rFonts w:ascii="Times New Roman" w:cs="Times New Roman" w:eastAsia="Times New Roman" w:hAnsi="Times New Roman"/>
                <w:sz w:val="18"/>
                <w:szCs w:val="18"/>
                <w:color w:val="auto"/>
                <w:w w:val="98"/>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47" w:lineRule="exact"/>
        <w:rPr>
          <w:sz w:val="20"/>
          <w:szCs w:val="20"/>
          <w:color w:val="auto"/>
        </w:rPr>
      </w:pPr>
    </w:p>
    <w:p>
      <w:pPr>
        <w:ind w:right="280" w:firstLine="359"/>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left="360" w:right="228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November 1, 2024, there were 77,499,629 shares of common stock, par value $0.001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855345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7"/>
        </w:trPr>
        <w:tc>
          <w:tcPr>
            <w:tcW w:w="1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20" w:type="dxa"/>
            <w:vAlign w:val="bottom"/>
            <w:gridSpan w:val="13"/>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8"/>
              </w:rPr>
              <w:t>VERACYTE, INC.</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80" w:type="dxa"/>
            <w:vAlign w:val="bottom"/>
            <w:gridSpan w:val="11"/>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8"/>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2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211"/>
        </w:trPr>
        <w:tc>
          <w:tcPr>
            <w:tcW w:w="1100" w:type="dxa"/>
            <w:vAlign w:val="bottom"/>
          </w:tcPr>
          <w:p>
            <w:pPr>
              <w:spacing w:after="0"/>
              <w:rPr>
                <w:sz w:val="18"/>
                <w:szCs w:val="18"/>
                <w:color w:val="auto"/>
              </w:rPr>
            </w:pPr>
          </w:p>
        </w:tc>
        <w:tc>
          <w:tcPr>
            <w:tcW w:w="32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6"/>
              </w:rPr>
              <w:t>PART I. — FINANCIAL INFORMATION</w:t>
            </w:r>
          </w:p>
        </w:tc>
        <w:tc>
          <w:tcPr>
            <w:tcW w:w="4300" w:type="dxa"/>
            <w:vAlign w:val="bottom"/>
            <w:gridSpan w:val="14"/>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3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1. Condensed Consolidated Financial Statements (Unaudited)</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2024 and</w:t>
            </w: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Borders>
              <w:top w:val="single" w:sz="8" w:color="0000FF"/>
              <w:bottom w:val="single" w:sz="8" w:color="0000FF"/>
            </w:tcBorders>
            <w:gridSpan w:val="5"/>
          </w:tcPr>
          <w:p>
            <w:pPr>
              <w:spacing w:after="0" w:line="140" w:lineRule="exact"/>
              <w:rPr>
                <w:sz w:val="20"/>
                <w:szCs w:val="20"/>
                <w:color w:val="auto"/>
              </w:rPr>
            </w:pPr>
            <w:r>
              <w:rPr>
                <w:rFonts w:ascii="Times New Roman" w:cs="Times New Roman" w:eastAsia="Times New Roman" w:hAnsi="Times New Roman"/>
                <w:sz w:val="16"/>
                <w:szCs w:val="16"/>
                <w:color w:val="0000FF"/>
              </w:rPr>
              <w:t>December 31, 2023</w:t>
            </w:r>
          </w:p>
        </w:tc>
        <w:tc>
          <w:tcPr>
            <w:tcW w:w="3640" w:type="dxa"/>
            <w:vAlign w:val="bottom"/>
            <w:tcBorders>
              <w:top w:val="single" w:sz="8" w:color="0000FF"/>
            </w:tcBorders>
            <w:gridSpan w:val="13"/>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2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4"/>
            <w:vMerge w:val="continue"/>
          </w:tcPr>
          <w:p>
            <w:pPr>
              <w:spacing w:after="0"/>
              <w:rPr>
                <w:sz w:val="18"/>
                <w:szCs w:val="18"/>
                <w:color w:val="auto"/>
              </w:rPr>
            </w:pP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0" w:type="dxa"/>
            <w:vAlign w:val="bottom"/>
            <w:tcBorders>
              <w:top w:val="single" w:sz="8" w:color="0000FF"/>
              <w:bottom w:val="single" w:sz="8" w:color="0000FF"/>
            </w:tcBorders>
            <w:gridSpan w:val="11"/>
          </w:tcPr>
          <w:p>
            <w:pPr>
              <w:spacing w:after="0" w:line="140" w:lineRule="exact"/>
              <w:rPr>
                <w:sz w:val="20"/>
                <w:szCs w:val="20"/>
                <w:color w:val="auto"/>
              </w:rPr>
            </w:pPr>
            <w:r>
              <w:rPr>
                <w:rFonts w:ascii="Times New Roman" w:cs="Times New Roman" w:eastAsia="Times New Roman" w:hAnsi="Times New Roman"/>
                <w:sz w:val="16"/>
                <w:szCs w:val="16"/>
                <w:color w:val="0000FF"/>
              </w:rPr>
              <w:t>Periods Ended September 30, 2024 and 2023</w:t>
            </w:r>
          </w:p>
        </w:tc>
        <w:tc>
          <w:tcPr>
            <w:tcW w:w="2580" w:type="dxa"/>
            <w:vAlign w:val="bottom"/>
            <w:tcBorders>
              <w:top w:val="single" w:sz="8" w:color="0000FF"/>
            </w:tcBorders>
            <w:gridSpan w:val="9"/>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2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4"/>
            <w:vMerge w:val="continue"/>
          </w:tcPr>
          <w:p>
            <w:pPr>
              <w:spacing w:after="0"/>
              <w:rPr>
                <w:sz w:val="18"/>
                <w:szCs w:val="18"/>
                <w:color w:val="auto"/>
              </w:rPr>
            </w:pP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0" w:type="dxa"/>
            <w:vAlign w:val="bottom"/>
            <w:tcBorders>
              <w:top w:val="single" w:sz="8" w:color="0000FF"/>
              <w:bottom w:val="single" w:sz="8" w:color="0000FF"/>
            </w:tcBorders>
            <w:gridSpan w:val="14"/>
          </w:tcPr>
          <w:p>
            <w:pPr>
              <w:spacing w:after="0" w:line="140" w:lineRule="exact"/>
              <w:rPr>
                <w:sz w:val="20"/>
                <w:szCs w:val="20"/>
                <w:color w:val="auto"/>
              </w:rPr>
            </w:pPr>
            <w:r>
              <w:rPr>
                <w:rFonts w:ascii="Times New Roman" w:cs="Times New Roman" w:eastAsia="Times New Roman" w:hAnsi="Times New Roman"/>
                <w:sz w:val="16"/>
                <w:szCs w:val="16"/>
                <w:color w:val="0000FF"/>
              </w:rPr>
              <w:t>and Nine Month Periods Ended September 30, 2024 and 2023</w:t>
            </w:r>
          </w:p>
        </w:tc>
        <w:tc>
          <w:tcPr>
            <w:tcW w:w="1580" w:type="dxa"/>
            <w:vAlign w:val="bottom"/>
            <w:tcBorders>
              <w:top w:val="single" w:sz="8" w:color="0000FF"/>
            </w:tcBorders>
            <w:gridSpan w:val="9"/>
          </w:tcPr>
          <w:p>
            <w:pPr>
              <w:spacing w:after="0"/>
              <w:rPr>
                <w:sz w:val="13"/>
                <w:szCs w:val="13"/>
                <w:color w:val="auto"/>
              </w:rPr>
            </w:pPr>
          </w:p>
        </w:tc>
        <w:tc>
          <w:tcPr>
            <w:tcW w:w="124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2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4"/>
            <w:vMerge w:val="continue"/>
          </w:tcPr>
          <w:p>
            <w:pPr>
              <w:spacing w:after="0"/>
              <w:rPr>
                <w:sz w:val="18"/>
                <w:szCs w:val="18"/>
                <w:color w:val="auto"/>
              </w:rPr>
            </w:pP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12"/>
          </w:tcPr>
          <w:p>
            <w:pPr>
              <w:spacing w:after="0" w:line="140" w:lineRule="exact"/>
              <w:rPr>
                <w:sz w:val="20"/>
                <w:szCs w:val="20"/>
                <w:color w:val="auto"/>
              </w:rPr>
            </w:pPr>
            <w:r>
              <w:rPr>
                <w:rFonts w:ascii="Times New Roman" w:cs="Times New Roman" w:eastAsia="Times New Roman" w:hAnsi="Times New Roman"/>
                <w:sz w:val="16"/>
                <w:szCs w:val="16"/>
                <w:color w:val="0000FF"/>
              </w:rPr>
              <w:t>Month Periods Ended September 30, 2024 and 2023</w:t>
            </w:r>
          </w:p>
        </w:tc>
        <w:tc>
          <w:tcPr>
            <w:tcW w:w="2240" w:type="dxa"/>
            <w:vAlign w:val="bottom"/>
            <w:tcBorders>
              <w:top w:val="single" w:sz="8" w:color="0000FF"/>
            </w:tcBorders>
            <w:gridSpan w:val="10"/>
          </w:tcPr>
          <w:p>
            <w:pPr>
              <w:spacing w:after="0"/>
              <w:rPr>
                <w:sz w:val="13"/>
                <w:szCs w:val="13"/>
                <w:color w:val="auto"/>
              </w:rPr>
            </w:pPr>
          </w:p>
        </w:tc>
        <w:tc>
          <w:tcPr>
            <w:tcW w:w="1260" w:type="dxa"/>
            <w:vAlign w:val="bottom"/>
            <w:gridSpan w:val="2"/>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2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 Periods</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4"/>
            <w:vMerge w:val="continue"/>
          </w:tcPr>
          <w:p>
            <w:pPr>
              <w:spacing w:after="0"/>
              <w:rPr>
                <w:sz w:val="18"/>
                <w:szCs w:val="18"/>
                <w:color w:val="auto"/>
              </w:rPr>
            </w:pP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tcBorders>
              <w:top w:val="single" w:sz="8" w:color="0000FF"/>
            </w:tcBorders>
            <w:gridSpan w:val="8"/>
          </w:tcPr>
          <w:p>
            <w:pPr>
              <w:spacing w:after="0" w:line="140" w:lineRule="exact"/>
              <w:rPr>
                <w:sz w:val="20"/>
                <w:szCs w:val="20"/>
                <w:color w:val="auto"/>
              </w:rPr>
            </w:pPr>
            <w:r>
              <w:rPr>
                <w:rFonts w:ascii="Times New Roman" w:cs="Times New Roman" w:eastAsia="Times New Roman" w:hAnsi="Times New Roman"/>
                <w:sz w:val="16"/>
                <w:szCs w:val="16"/>
                <w:color w:val="0000FF"/>
              </w:rPr>
              <w:t>Ended September 30, 2023 and 2023</w:t>
            </w:r>
          </w:p>
        </w:tc>
        <w:tc>
          <w:tcPr>
            <w:tcW w:w="3040" w:type="dxa"/>
            <w:vAlign w:val="bottom"/>
            <w:tcBorders>
              <w:top w:val="single" w:sz="8" w:color="0000FF"/>
            </w:tcBorders>
            <w:gridSpan w:val="11"/>
          </w:tcPr>
          <w:p>
            <w:pPr>
              <w:spacing w:after="0"/>
              <w:rPr>
                <w:sz w:val="13"/>
                <w:szCs w:val="13"/>
                <w:color w:val="auto"/>
              </w:rPr>
            </w:pPr>
          </w:p>
        </w:tc>
        <w:tc>
          <w:tcPr>
            <w:tcW w:w="220" w:type="dxa"/>
            <w:vAlign w:val="bottom"/>
            <w:gridSpan w:val="2"/>
          </w:tcPr>
          <w:p>
            <w:pPr>
              <w:spacing w:after="0"/>
              <w:rPr>
                <w:sz w:val="13"/>
                <w:szCs w:val="13"/>
                <w:color w:val="auto"/>
              </w:rPr>
            </w:pPr>
          </w:p>
        </w:tc>
        <w:tc>
          <w:tcPr>
            <w:tcW w:w="1340" w:type="dxa"/>
            <w:vAlign w:val="bottom"/>
            <w:gridSpan w:val="3"/>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40" w:type="dxa"/>
            <w:vAlign w:val="bottom"/>
            <w:tcBorders>
              <w:lef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gridSpan w:val="4"/>
          </w:tcPr>
          <w:p>
            <w:pPr>
              <w:spacing w:after="0"/>
              <w:rPr>
                <w:sz w:val="2"/>
                <w:szCs w:val="2"/>
                <w:color w:val="auto"/>
              </w:rPr>
            </w:pPr>
          </w:p>
        </w:tc>
        <w:tc>
          <w:tcPr>
            <w:tcW w:w="6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gridSpan w:val="4"/>
          </w:tcPr>
          <w:p>
            <w:pPr>
              <w:spacing w:after="0"/>
              <w:rPr>
                <w:sz w:val="2"/>
                <w:szCs w:val="2"/>
                <w:color w:val="auto"/>
              </w:rPr>
            </w:pPr>
          </w:p>
        </w:tc>
        <w:tc>
          <w:tcPr>
            <w:tcW w:w="1340" w:type="dxa"/>
            <w:vAlign w:val="bottom"/>
            <w:gridSpan w:val="3"/>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Notes to Condensed Consolidated Financial Statements</w:t>
            </w:r>
          </w:p>
        </w:tc>
        <w:tc>
          <w:tcPr>
            <w:tcW w:w="3280" w:type="dxa"/>
            <w:vAlign w:val="bottom"/>
            <w:gridSpan w:val="11"/>
          </w:tcPr>
          <w:p>
            <w:pPr>
              <w:spacing w:after="0"/>
              <w:rPr>
                <w:sz w:val="21"/>
                <w:szCs w:val="21"/>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w:t>
            </w:r>
          </w:p>
        </w:tc>
        <w:tc>
          <w:tcPr>
            <w:tcW w:w="1320" w:type="dxa"/>
            <w:vAlign w:val="bottom"/>
            <w:vMerge w:val="restart"/>
          </w:tcPr>
          <w:p>
            <w:pPr>
              <w:spacing w:after="0"/>
              <w:rPr>
                <w:sz w:val="19"/>
                <w:szCs w:val="19"/>
                <w:color w:val="auto"/>
              </w:rPr>
            </w:pPr>
          </w:p>
        </w:tc>
        <w:tc>
          <w:tcPr>
            <w:tcW w:w="2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8"/>
              </w:rPr>
              <w:t>20</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Borders>
              <w:top w:val="single" w:sz="8" w:color="0000FF"/>
            </w:tcBorders>
            <w:gridSpan w:val="3"/>
          </w:tcPr>
          <w:p>
            <w:pPr>
              <w:spacing w:after="0" w:line="140" w:lineRule="exact"/>
              <w:rPr>
                <w:sz w:val="20"/>
                <w:szCs w:val="20"/>
                <w:color w:val="auto"/>
              </w:rPr>
            </w:pPr>
            <w:r>
              <w:rPr>
                <w:rFonts w:ascii="Times New Roman" w:cs="Times New Roman" w:eastAsia="Times New Roman" w:hAnsi="Times New Roman"/>
                <w:sz w:val="16"/>
                <w:szCs w:val="16"/>
                <w:color w:val="0000FF"/>
              </w:rPr>
              <w:t>Operations</w:t>
            </w:r>
          </w:p>
        </w:tc>
        <w:tc>
          <w:tcPr>
            <w:tcW w:w="5120" w:type="dxa"/>
            <w:vAlign w:val="bottom"/>
            <w:tcBorders>
              <w:top w:val="single" w:sz="8" w:color="0000FF"/>
            </w:tcBorders>
            <w:gridSpan w:val="19"/>
          </w:tcPr>
          <w:p>
            <w:pPr>
              <w:spacing w:after="0"/>
              <w:rPr>
                <w:sz w:val="13"/>
                <w:szCs w:val="13"/>
                <w:color w:val="auto"/>
              </w:rPr>
            </w:pPr>
          </w:p>
        </w:tc>
        <w:tc>
          <w:tcPr>
            <w:tcW w:w="1340" w:type="dxa"/>
            <w:vAlign w:val="bottom"/>
            <w:gridSpan w:val="3"/>
          </w:tcPr>
          <w:p>
            <w:pPr>
              <w:spacing w:after="0"/>
              <w:rPr>
                <w:sz w:val="13"/>
                <w:szCs w:val="13"/>
                <w:color w:val="auto"/>
              </w:rPr>
            </w:pPr>
          </w:p>
        </w:tc>
        <w:tc>
          <w:tcPr>
            <w:tcW w:w="1320" w:type="dxa"/>
            <w:vAlign w:val="bottom"/>
            <w:vMerge w:val="continue"/>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920" w:type="dxa"/>
            <w:vAlign w:val="bottom"/>
            <w:gridSpan w:val="3"/>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980" w:type="dxa"/>
            <w:vAlign w:val="bottom"/>
            <w:gridSpan w:val="7"/>
          </w:tcPr>
          <w:p>
            <w:pPr>
              <w:spacing w:after="0"/>
              <w:rPr>
                <w:sz w:val="2"/>
                <w:szCs w:val="2"/>
                <w:color w:val="auto"/>
              </w:rPr>
            </w:pPr>
          </w:p>
        </w:tc>
        <w:tc>
          <w:tcPr>
            <w:tcW w:w="20" w:type="dxa"/>
            <w:vAlign w:val="bottom"/>
          </w:tcPr>
          <w:p>
            <w:pPr>
              <w:spacing w:after="0"/>
              <w:rPr>
                <w:sz w:val="2"/>
                <w:szCs w:val="2"/>
                <w:color w:val="auto"/>
              </w:rPr>
            </w:pPr>
          </w:p>
        </w:tc>
        <w:tc>
          <w:tcPr>
            <w:tcW w:w="2580" w:type="dxa"/>
            <w:vAlign w:val="bottom"/>
            <w:gridSpan w:val="7"/>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7"/>
              </w:rPr>
              <w:t>Item 3. Quantitative and Qualitative Disclosures About Market Risk</w:t>
            </w:r>
          </w:p>
        </w:tc>
        <w:tc>
          <w:tcPr>
            <w:tcW w:w="2580" w:type="dxa"/>
            <w:vAlign w:val="bottom"/>
            <w:gridSpan w:val="7"/>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4"/>
              </w:rPr>
              <w:t>Item 4. Controls and Procedures</w:t>
            </w:r>
          </w:p>
        </w:tc>
        <w:tc>
          <w:tcPr>
            <w:tcW w:w="2560" w:type="dxa"/>
            <w:vAlign w:val="bottom"/>
            <w:gridSpan w:val="10"/>
          </w:tcPr>
          <w:p>
            <w:pPr>
              <w:spacing w:after="0"/>
              <w:rPr>
                <w:sz w:val="21"/>
                <w:szCs w:val="21"/>
                <w:color w:val="auto"/>
              </w:rPr>
            </w:pPr>
          </w:p>
        </w:tc>
        <w:tc>
          <w:tcPr>
            <w:tcW w:w="2580" w:type="dxa"/>
            <w:vAlign w:val="bottom"/>
            <w:gridSpan w:val="7"/>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2600" w:type="dxa"/>
            <w:vAlign w:val="bottom"/>
            <w:gridSpan w:val="8"/>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754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7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4600" w:type="dxa"/>
            <w:vAlign w:val="bottom"/>
            <w:gridSpan w:val="16"/>
          </w:tcPr>
          <w:p>
            <w:pPr>
              <w:spacing w:after="0"/>
              <w:rPr>
                <w:sz w:val="21"/>
                <w:szCs w:val="21"/>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2600" w:type="dxa"/>
            <w:vAlign w:val="bottom"/>
            <w:gridSpan w:val="8"/>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3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320" w:type="dxa"/>
            <w:vAlign w:val="bottom"/>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72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4580" w:type="dxa"/>
            <w:vAlign w:val="bottom"/>
            <w:gridSpan w:val="15"/>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6"/>
              </w:rPr>
              <w:t>Item 3. Defaults Upon Senior Securities</w:t>
            </w:r>
          </w:p>
        </w:tc>
        <w:tc>
          <w:tcPr>
            <w:tcW w:w="4580" w:type="dxa"/>
            <w:vAlign w:val="bottom"/>
            <w:gridSpan w:val="15"/>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72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4580" w:type="dxa"/>
            <w:vAlign w:val="bottom"/>
            <w:gridSpan w:val="1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4580" w:type="dxa"/>
            <w:vAlign w:val="bottom"/>
            <w:gridSpan w:val="15"/>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72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140" w:type="dxa"/>
            <w:vAlign w:val="bottom"/>
            <w:gridSpan w:val="1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5140" w:type="dxa"/>
            <w:vAlign w:val="bottom"/>
            <w:gridSpan w:val="17"/>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72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580" w:type="dxa"/>
            <w:vAlign w:val="bottom"/>
            <w:gridSpan w:val="18"/>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3"/>
              </w:rPr>
              <w:t>Item 6. Exhibits</w:t>
            </w:r>
          </w:p>
        </w:tc>
        <w:tc>
          <w:tcPr>
            <w:tcW w:w="700" w:type="dxa"/>
            <w:vAlign w:val="bottom"/>
            <w:gridSpan w:val="3"/>
          </w:tcPr>
          <w:p>
            <w:pPr>
              <w:spacing w:after="0"/>
              <w:rPr>
                <w:sz w:val="21"/>
                <w:szCs w:val="21"/>
                <w:color w:val="auto"/>
              </w:rPr>
            </w:pPr>
          </w:p>
        </w:tc>
        <w:tc>
          <w:tcPr>
            <w:tcW w:w="5580" w:type="dxa"/>
            <w:vAlign w:val="bottom"/>
            <w:gridSpan w:val="18"/>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72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80" w:type="dxa"/>
            <w:vAlign w:val="bottom"/>
            <w:gridSpan w:val="21"/>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75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60"/>
          </w:cols>
          <w:pgMar w:left="320" w:top="105" w:right="1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179"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spacing w:after="0" w:line="183" w:lineRule="exact"/>
        <w:rPr>
          <w:sz w:val="20"/>
          <w:szCs w:val="20"/>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that may impact our financial results;</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total revenue and total test volume;</w:t>
      </w:r>
    </w:p>
    <w:p>
      <w:pPr>
        <w:spacing w:after="0" w:line="32" w:lineRule="exact"/>
        <w:rPr>
          <w:rFonts w:ascii="Times New Roman" w:cs="Times New Roman" w:eastAsia="Times New Roman" w:hAnsi="Times New Roman"/>
          <w:sz w:val="18"/>
          <w:szCs w:val="18"/>
          <w:color w:val="auto"/>
        </w:rPr>
      </w:pPr>
    </w:p>
    <w:p>
      <w:pPr>
        <w:ind w:left="640" w:hanging="315"/>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our future research and development, general and administrative and selling and marketing expenses and our anticipated uses of our funds;</w:t>
      </w:r>
    </w:p>
    <w:p>
      <w:pPr>
        <w:spacing w:after="0" w:line="3" w:lineRule="exact"/>
        <w:rPr>
          <w:rFonts w:ascii="Times New Roman" w:cs="Times New Roman" w:eastAsia="Times New Roman" w:hAnsi="Times New Roman"/>
          <w:sz w:val="18"/>
          <w:szCs w:val="18"/>
          <w:color w:val="auto"/>
        </w:rPr>
      </w:pPr>
    </w:p>
    <w:p>
      <w:pPr>
        <w:jc w:val="both"/>
        <w:ind w:left="640" w:hanging="315"/>
        <w:spacing w:after="0" w:line="23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impact of inflation, volatile interest rates and foreign exchange fluctuations, the war in Ukraine and the ongoing conflict in the Middle East, any impacts of the recent U.S. election, energy and supply chain disruptions, and the resulting market volatility on our business;</w:t>
      </w:r>
    </w:p>
    <w:p>
      <w:pPr>
        <w:spacing w:after="0" w:line="9"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with respect to importance of maintaining libraries of clinical evidence;</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Percepta Nasal Swab classifier for early lung cancer classification;</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addition of minimal residual detection capabilities to our diagnostic platform;</w:t>
      </w:r>
    </w:p>
    <w:p>
      <w:pPr>
        <w:spacing w:after="0" w:line="32" w:lineRule="exact"/>
        <w:rPr>
          <w:rFonts w:ascii="Times New Roman" w:cs="Times New Roman" w:eastAsia="Times New Roman" w:hAnsi="Times New Roman"/>
          <w:sz w:val="18"/>
          <w:szCs w:val="18"/>
          <w:color w:val="auto"/>
        </w:rPr>
      </w:pPr>
    </w:p>
    <w:p>
      <w:pPr>
        <w:ind w:left="640" w:hanging="315"/>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and success of our transition to offering more of our tests as in vitro diagnostic tests on multiple platforms worldwide;</w:t>
      </w:r>
    </w:p>
    <w:p>
      <w:pPr>
        <w:spacing w:after="0" w:line="3" w:lineRule="exact"/>
        <w:rPr>
          <w:rFonts w:ascii="Times New Roman" w:cs="Times New Roman" w:eastAsia="Times New Roman" w:hAnsi="Times New Roman"/>
          <w:sz w:val="18"/>
          <w:szCs w:val="18"/>
          <w:color w:val="auto"/>
        </w:rPr>
      </w:pPr>
    </w:p>
    <w:p>
      <w:pPr>
        <w:ind w:left="640" w:hanging="315"/>
        <w:spacing w:after="0" w:line="24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receive quality reagents and other raw materials from certain single source suppliers, and to manufacture our in vitro diagnostics, or IVD, products;</w:t>
      </w:r>
    </w:p>
    <w:p>
      <w:pPr>
        <w:spacing w:after="0" w:line="17" w:lineRule="exact"/>
        <w:rPr>
          <w:rFonts w:ascii="Times New Roman" w:cs="Times New Roman" w:eastAsia="Times New Roman" w:hAnsi="Times New Roman"/>
          <w:sz w:val="18"/>
          <w:szCs w:val="18"/>
          <w:color w:val="auto"/>
        </w:rPr>
      </w:pPr>
    </w:p>
    <w:p>
      <w:pPr>
        <w:ind w:left="640" w:hanging="315"/>
        <w:spacing w:after="0" w:line="25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C2i Genomics, Inc., or C2i, HalioDx and Decipher Biosciences into our business and our ability to run our tests on the nCounter Analysis System, as well as other platforms worldwide;</w:t>
      </w: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partnerships and agreements;</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capital expenditures, our anticipated cash needs and our estimates regarding our capital requirements and profitability;</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our ability to execute on our strategy;</w:t>
      </w:r>
    </w:p>
    <w:p>
      <w:pPr>
        <w:spacing w:after="0" w:line="32" w:lineRule="exact"/>
        <w:rPr>
          <w:rFonts w:ascii="Times New Roman" w:cs="Times New Roman" w:eastAsia="Times New Roman" w:hAnsi="Times New Roman"/>
          <w:sz w:val="18"/>
          <w:szCs w:val="18"/>
          <w:color w:val="auto"/>
        </w:rPr>
      </w:pPr>
    </w:p>
    <w:p>
      <w:pPr>
        <w:ind w:left="640" w:hanging="315"/>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Medicare, other government payer, and other commercial third party payer reimbursement at acceptable levels and our expectations regarding the timing of reimbursement;</w:t>
      </w:r>
    </w:p>
    <w:p>
      <w:pPr>
        <w:spacing w:after="0" w:line="3" w:lineRule="exact"/>
        <w:rPr>
          <w:rFonts w:ascii="Times New Roman" w:cs="Times New Roman" w:eastAsia="Times New Roman" w:hAnsi="Times New Roman"/>
          <w:sz w:val="18"/>
          <w:szCs w:val="18"/>
          <w:color w:val="auto"/>
        </w:rPr>
      </w:pPr>
    </w:p>
    <w:p>
      <w:pPr>
        <w:ind w:left="640" w:hanging="315"/>
        <w:spacing w:after="0" w:line="24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regard to the estimated number of patients eligible for our tests and the attributes and potential benefits of our tests and any future tests we may develop to patients, physicians, and payers;</w:t>
      </w:r>
    </w:p>
    <w:p>
      <w:pPr>
        <w:spacing w:after="0" w:line="17"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on our ability to drive demand for and reimbursement of our tests; our sales, marketing and distribution capabilities and strategy;</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3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policies, guidance agency interpretations and judicial decisions; and</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in our competitive position.</w:t>
      </w:r>
    </w:p>
    <w:p>
      <w:pPr>
        <w:spacing w:after="0" w:line="298" w:lineRule="exact"/>
        <w:rPr>
          <w:sz w:val="20"/>
          <w:szCs w:val="20"/>
          <w:color w:val="auto"/>
        </w:rPr>
      </w:pPr>
    </w:p>
    <w:p>
      <w:pPr>
        <w:jc w:val="both"/>
        <w:ind w:firstLine="399"/>
        <w:spacing w:after="0" w:line="238" w:lineRule="auto"/>
        <w:rPr>
          <w:sz w:val="20"/>
          <w:szCs w:val="20"/>
          <w:color w:val="auto"/>
        </w:rPr>
      </w:pPr>
      <w:r>
        <w:rPr>
          <w:rFonts w:ascii="Times New Roman" w:cs="Times New Roman" w:eastAsia="Times New Roman" w:hAnsi="Times New Roman"/>
          <w:sz w:val="18"/>
          <w:szCs w:val="18"/>
          <w:color w:val="auto"/>
        </w:rPr>
        <w:t>We caution you that the foregoing list does not contain all of the forward-looking statements made in this report. 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Statements-(Unaudited)</w:t>
      </w:r>
    </w:p>
    <w:p>
      <w:pPr>
        <w:spacing w:after="0" w:line="2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0" w:type="dxa"/>
            <w:vAlign w:val="bottom"/>
          </w:tcPr>
          <w:p>
            <w:pPr>
              <w:spacing w:after="0"/>
              <w:rPr>
                <w:sz w:val="18"/>
                <w:szCs w:val="18"/>
                <w:color w:val="auto"/>
              </w:rPr>
            </w:pPr>
          </w:p>
        </w:tc>
        <w:tc>
          <w:tcPr>
            <w:tcW w:w="16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7"/>
        </w:trPr>
        <w:tc>
          <w:tcPr>
            <w:tcW w:w="7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(See Note 1)</w:t>
            </w: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274,079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216,454</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40,378</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Supplies and inventory</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16,128</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12,661</w:t>
            </w:r>
          </w:p>
        </w:tc>
        <w:tc>
          <w:tcPr>
            <w:tcW w:w="0" w:type="dxa"/>
            <w:vAlign w:val="bottom"/>
          </w:tcPr>
          <w:p>
            <w:pPr>
              <w:spacing w:after="0"/>
              <w:rPr>
                <w:sz w:val="1"/>
                <w:szCs w:val="1"/>
                <w:color w:val="auto"/>
              </w:rPr>
            </w:pPr>
          </w:p>
        </w:tc>
      </w:tr>
      <w:tr>
        <w:trPr>
          <w:trHeight w:val="208"/>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356,854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285,621</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20,584</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operating leases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10,277</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88,593</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762,117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702,984</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0" w:type="dxa"/>
            <w:vAlign w:val="bottom"/>
          </w:tcPr>
          <w:p>
            <w:pPr>
              <w:spacing w:after="0"/>
              <w:rPr>
                <w:sz w:val="1"/>
                <w:szCs w:val="1"/>
                <w:color w:val="auto"/>
              </w:rPr>
            </w:pP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5,971</w:t>
            </w:r>
          </w:p>
        </w:tc>
        <w:tc>
          <w:tcPr>
            <w:tcW w:w="0" w:type="dxa"/>
            <w:vAlign w:val="bottom"/>
          </w:tcPr>
          <w:p>
            <w:pPr>
              <w:spacing w:after="0"/>
              <w:rPr>
                <w:sz w:val="1"/>
                <w:szCs w:val="1"/>
                <w:color w:val="auto"/>
              </w:rPr>
            </w:pPr>
          </w:p>
        </w:tc>
      </w:tr>
      <w:tr>
        <w:trPr>
          <w:trHeight w:val="208"/>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1,275,021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1,114,906</w:t>
            </w:r>
          </w:p>
        </w:tc>
        <w:tc>
          <w:tcPr>
            <w:tcW w:w="0" w:type="dxa"/>
            <w:vAlign w:val="bottom"/>
          </w:tcPr>
          <w:p>
            <w:pPr>
              <w:spacing w:after="0"/>
              <w:rPr>
                <w:sz w:val="1"/>
                <w:szCs w:val="1"/>
                <w:color w:val="auto"/>
              </w:rPr>
            </w:pP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38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12,943</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38,427</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acquisition-related contingent consideration</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5,105</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 portion of other liabilities</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8"/>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61,241</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Acquisition-related contingent consideration, net of current portion</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7,525</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0" w:type="dxa"/>
            <w:vAlign w:val="bottom"/>
          </w:tcPr>
          <w:p>
            <w:pPr>
              <w:spacing w:after="0"/>
              <w:rPr>
                <w:sz w:val="1"/>
                <w:szCs w:val="1"/>
                <w:color w:val="auto"/>
              </w:rPr>
            </w:pPr>
          </w:p>
        </w:tc>
      </w:tr>
      <w:tr>
        <w:trPr>
          <w:trHeight w:val="204"/>
        </w:trPr>
        <w:tc>
          <w:tcPr>
            <w:tcW w:w="7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98,979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70,804</w:t>
            </w:r>
          </w:p>
        </w:tc>
        <w:tc>
          <w:tcPr>
            <w:tcW w:w="0" w:type="dxa"/>
            <w:vAlign w:val="bottom"/>
          </w:tcPr>
          <w:p>
            <w:pPr>
              <w:spacing w:after="0"/>
              <w:rPr>
                <w:sz w:val="1"/>
                <w:szCs w:val="1"/>
                <w:color w:val="auto"/>
              </w:rPr>
            </w:pPr>
          </w:p>
        </w:tc>
      </w:tr>
      <w:tr>
        <w:trPr>
          <w:trHeight w:val="19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Preferred stock, $0.001 par value; 5,000,000 shares authorized, no shares issued and outstanding as of</w:t>
            </w:r>
          </w:p>
        </w:tc>
        <w:tc>
          <w:tcPr>
            <w:tcW w:w="180" w:type="dxa"/>
            <w:vAlign w:val="bottom"/>
            <w:shd w:val="clear" w:color="auto" w:fill="CCEEFF"/>
          </w:tcPr>
          <w:p>
            <w:pPr>
              <w:spacing w:after="0"/>
              <w:rPr>
                <w:sz w:val="14"/>
                <w:szCs w:val="14"/>
                <w:color w:val="auto"/>
              </w:rPr>
            </w:pPr>
          </w:p>
        </w:tc>
        <w:tc>
          <w:tcPr>
            <w:tcW w:w="1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September 30, 2024 and December 31, 2023</w:t>
            </w:r>
          </w:p>
        </w:tc>
        <w:tc>
          <w:tcPr>
            <w:tcW w:w="180" w:type="dxa"/>
            <w:vAlign w:val="bottom"/>
            <w:shd w:val="clear" w:color="auto" w:fill="CCEEFF"/>
          </w:tcPr>
          <w:p>
            <w:pPr>
              <w:spacing w:after="0"/>
              <w:rPr>
                <w:sz w:val="18"/>
                <w:szCs w:val="18"/>
                <w:color w:val="auto"/>
              </w:rPr>
            </w:pPr>
          </w:p>
        </w:tc>
        <w:tc>
          <w:tcPr>
            <w:tcW w:w="17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380" w:type="dxa"/>
            <w:vAlign w:val="bottom"/>
          </w:tcPr>
          <w:p>
            <w:pPr>
              <w:ind w:left="180"/>
              <w:spacing w:after="0" w:line="160" w:lineRule="exact"/>
              <w:rPr>
                <w:sz w:val="20"/>
                <w:szCs w:val="20"/>
                <w:color w:val="auto"/>
              </w:rPr>
            </w:pPr>
            <w:r>
              <w:rPr>
                <w:rFonts w:ascii="Times New Roman" w:cs="Times New Roman" w:eastAsia="Times New Roman" w:hAnsi="Times New Roman"/>
                <w:sz w:val="16"/>
                <w:szCs w:val="16"/>
                <w:color w:val="auto"/>
              </w:rPr>
              <w:t>Common stock, $0.001 par value; 125,000,000 shares authorized, 77,491,212 and 73,264,738 shares issued and</w:t>
            </w:r>
          </w:p>
        </w:tc>
        <w:tc>
          <w:tcPr>
            <w:tcW w:w="180" w:type="dxa"/>
            <w:vAlign w:val="bottom"/>
          </w:tcPr>
          <w:p>
            <w:pPr>
              <w:spacing w:after="0"/>
              <w:rPr>
                <w:sz w:val="13"/>
                <w:szCs w:val="13"/>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as of September 30, 2024 and December 31, 2023, respectively</w:t>
            </w:r>
          </w:p>
        </w:tc>
        <w:tc>
          <w:tcPr>
            <w:tcW w:w="18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1,646,343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1,536,168</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(468,121)</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(24,018)</w:t>
            </w:r>
          </w:p>
        </w:tc>
        <w:tc>
          <w:tcPr>
            <w:tcW w:w="0" w:type="dxa"/>
            <w:vAlign w:val="bottom"/>
          </w:tcPr>
          <w:p>
            <w:pPr>
              <w:spacing w:after="0"/>
              <w:rPr>
                <w:sz w:val="1"/>
                <w:szCs w:val="1"/>
                <w:color w:val="auto"/>
              </w:rPr>
            </w:pPr>
          </w:p>
        </w:tc>
      </w:tr>
      <w:tr>
        <w:trPr>
          <w:trHeight w:val="204"/>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1,176,042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1,044,102</w:t>
            </w:r>
          </w:p>
        </w:tc>
        <w:tc>
          <w:tcPr>
            <w:tcW w:w="0" w:type="dxa"/>
            <w:vAlign w:val="bottom"/>
          </w:tcPr>
          <w:p>
            <w:pPr>
              <w:spacing w:after="0"/>
              <w:rPr>
                <w:sz w:val="1"/>
                <w:szCs w:val="1"/>
                <w:color w:val="auto"/>
              </w:rPr>
            </w:pPr>
          </w:p>
        </w:tc>
      </w:tr>
      <w:tr>
        <w:trPr>
          <w:trHeight w:val="233"/>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1,275,021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1,114,906</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3000" w:type="dxa"/>
            <w:vAlign w:val="bottom"/>
            <w:gridSpan w:val="4"/>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7"/>
        </w:trPr>
        <w:tc>
          <w:tcPr>
            <w:tcW w:w="46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0"/>
        </w:trPr>
        <w:tc>
          <w:tcPr>
            <w:tcW w:w="4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Testing revenue</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109,536</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82,012</w:t>
            </w:r>
          </w:p>
        </w:tc>
        <w:tc>
          <w:tcPr>
            <w:tcW w:w="12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306,809</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236,157</w:t>
            </w:r>
          </w:p>
        </w:tc>
      </w:tr>
      <w:tr>
        <w:trPr>
          <w:trHeight w:val="215"/>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revenue</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11,923</w:t>
            </w:r>
          </w:p>
        </w:tc>
      </w:tr>
      <w:tr>
        <w:trPr>
          <w:trHeight w:val="210"/>
        </w:trPr>
        <w:tc>
          <w:tcPr>
            <w:tcW w:w="4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Biopharmaceutical and other revenue</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14,772</w:t>
            </w:r>
          </w:p>
        </w:tc>
      </w:tr>
      <w:tr>
        <w:trPr>
          <w:trHeight w:val="208"/>
        </w:trPr>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115,860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90,108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327,132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262,852</w:t>
            </w:r>
          </w:p>
        </w:tc>
      </w:tr>
      <w:tr>
        <w:trPr>
          <w:trHeight w:val="19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5"/>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testing revenue</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64,808</w:t>
            </w:r>
          </w:p>
        </w:tc>
      </w:tr>
      <w:tr>
        <w:trPr>
          <w:trHeight w:val="210"/>
        </w:trPr>
        <w:tc>
          <w:tcPr>
            <w:tcW w:w="4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 revenue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6,913</w:t>
            </w:r>
          </w:p>
        </w:tc>
      </w:tr>
      <w:tr>
        <w:trPr>
          <w:trHeight w:val="215"/>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11,806</w:t>
            </w:r>
          </w:p>
        </w:tc>
      </w:tr>
      <w:tr>
        <w:trPr>
          <w:trHeight w:val="210"/>
        </w:trPr>
        <w:tc>
          <w:tcPr>
            <w:tcW w:w="4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 - cost of revenue</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14,429</w:t>
            </w:r>
          </w:p>
        </w:tc>
      </w:tr>
      <w:tr>
        <w:trPr>
          <w:trHeight w:val="208"/>
        </w:trPr>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cost of revenue</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107,741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97,956</w:t>
            </w:r>
          </w:p>
        </w:tc>
      </w:tr>
      <w:tr>
        <w:trPr>
          <w:trHeight w:val="204"/>
        </w:trPr>
        <w:tc>
          <w:tcPr>
            <w:tcW w:w="4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79,010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57,687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219,391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164,896</w:t>
            </w:r>
          </w:p>
        </w:tc>
      </w:tr>
      <w:tr>
        <w:trPr>
          <w:trHeight w:val="19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10"/>
        </w:trPr>
        <w:tc>
          <w:tcPr>
            <w:tcW w:w="4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38,632</w:t>
            </w:r>
          </w:p>
        </w:tc>
      </w:tr>
      <w:tr>
        <w:trPr>
          <w:trHeight w:val="215"/>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76,230</w:t>
            </w:r>
          </w:p>
        </w:tc>
      </w:tr>
      <w:tr>
        <w:trPr>
          <w:trHeight w:val="210"/>
        </w:trPr>
        <w:tc>
          <w:tcPr>
            <w:tcW w:w="4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62,434</w:t>
            </w:r>
          </w:p>
        </w:tc>
      </w:tr>
      <w:tr>
        <w:trPr>
          <w:trHeight w:val="215"/>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36,310</w:t>
            </w:r>
          </w:p>
        </w:tc>
      </w:tr>
      <w:tr>
        <w:trPr>
          <w:trHeight w:val="210"/>
        </w:trPr>
        <w:tc>
          <w:tcPr>
            <w:tcW w:w="4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 - operating expenses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1,578</w:t>
            </w:r>
          </w:p>
        </w:tc>
      </w:tr>
      <w:tr>
        <w:trPr>
          <w:trHeight w:val="208"/>
        </w:trPr>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66,993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89,426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207,424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215,184</w:t>
            </w:r>
          </w:p>
        </w:tc>
      </w:tr>
      <w:tr>
        <w:trPr>
          <w:trHeight w:val="20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(50,288)</w:t>
            </w:r>
          </w:p>
        </w:tc>
      </w:tr>
      <w:tr>
        <w:trPr>
          <w:trHeight w:val="21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4,148</w:t>
            </w:r>
          </w:p>
        </w:tc>
      </w:tr>
      <w:tr>
        <w:trPr>
          <w:trHeight w:val="20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(46,140)</w:t>
            </w:r>
          </w:p>
        </w:tc>
      </w:tr>
      <w:tr>
        <w:trPr>
          <w:trHeight w:val="21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8"/>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(29,618)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19,025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(46,111)</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9"/>
        </w:trPr>
        <w:tc>
          <w:tcPr>
            <w:tcW w:w="460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color w:val="auto"/>
              </w:rPr>
              <w:t>Earnings (loss) per share:</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0"/>
        </w:trPr>
        <w:tc>
          <w:tcPr>
            <w:tcW w:w="4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2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r>
      <w:tr>
        <w:trPr>
          <w:trHeight w:val="215"/>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(0.64)</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used to compute earnings (loss) per common share:</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5"/>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77,013,831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72,804,770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76,107,302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72,488,601</w:t>
            </w:r>
          </w:p>
        </w:tc>
      </w:tr>
      <w:tr>
        <w:trPr>
          <w:trHeight w:val="208"/>
        </w:trPr>
        <w:tc>
          <w:tcPr>
            <w:tcW w:w="4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78,464,654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72,804,770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77,339,897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72,488,601</w:t>
            </w:r>
          </w:p>
        </w:tc>
      </w:tr>
    </w:tbl>
    <w:p>
      <w:pPr>
        <w:spacing w:after="0" w:line="2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80" w:type="dxa"/>
            <w:vAlign w:val="bottom"/>
          </w:tcPr>
          <w:p>
            <w:pPr>
              <w:spacing w:after="0"/>
              <w:rPr>
                <w:sz w:val="18"/>
                <w:szCs w:val="18"/>
                <w:color w:val="auto"/>
              </w:rPr>
            </w:pPr>
          </w:p>
        </w:tc>
        <w:tc>
          <w:tcPr>
            <w:tcW w:w="348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7"/>
        </w:trPr>
        <w:tc>
          <w:tcPr>
            <w:tcW w:w="438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6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(46,111)</w:t>
            </w:r>
          </w:p>
        </w:tc>
      </w:tr>
      <w:tr>
        <w:trPr>
          <w:trHeight w:val="210"/>
        </w:trPr>
        <w:tc>
          <w:tcPr>
            <w:tcW w:w="4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5"/>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currency translation adjustments</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(2,851)</w:t>
            </w:r>
          </w:p>
        </w:tc>
      </w:tr>
      <w:tr>
        <w:trPr>
          <w:trHeight w:val="206"/>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comprehensive income (loss)</w:t>
            </w:r>
          </w:p>
        </w:tc>
        <w:tc>
          <w:tcPr>
            <w:tcW w:w="106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24,483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(36,032)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21,761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(48,962)</w:t>
            </w:r>
          </w:p>
        </w:tc>
      </w:tr>
      <w:tr>
        <w:trPr>
          <w:trHeight w:val="20"/>
        </w:trPr>
        <w:tc>
          <w:tcPr>
            <w:tcW w:w="4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20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6"/>
                <w:szCs w:val="16"/>
                <w:color w:val="auto"/>
              </w:rPr>
            </w:pP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2040" w:type="dxa"/>
            <w:vAlign w:val="bottom"/>
            <w:tcBorders>
              <w:bottom w:val="single" w:sz="8" w:color="auto"/>
            </w:tcBorders>
            <w:gridSpan w:val="3"/>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2"/>
                <w:szCs w:val="12"/>
                <w:color w:val="auto"/>
              </w:rPr>
            </w:pPr>
          </w:p>
        </w:tc>
        <w:tc>
          <w:tcPr>
            <w:tcW w:w="130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80" w:type="dxa"/>
            <w:vAlign w:val="bottom"/>
          </w:tcPr>
          <w:p>
            <w:pPr>
              <w:spacing w:after="0"/>
              <w:rPr>
                <w:sz w:val="12"/>
                <w:szCs w:val="12"/>
                <w:color w:val="auto"/>
              </w:rPr>
            </w:pPr>
          </w:p>
        </w:tc>
        <w:tc>
          <w:tcPr>
            <w:tcW w:w="1220" w:type="dxa"/>
            <w:vAlign w:val="bottom"/>
          </w:tcPr>
          <w:p>
            <w:pPr>
              <w:jc w:val="center"/>
              <w:ind w:right="100"/>
              <w:spacing w:after="0" w:line="140" w:lineRule="exact"/>
              <w:rPr>
                <w:sz w:val="20"/>
                <w:szCs w:val="20"/>
                <w:color w:val="auto"/>
              </w:rPr>
            </w:pPr>
            <w:r>
              <w:rPr>
                <w:rFonts w:ascii="Times New Roman" w:cs="Times New Roman" w:eastAsia="Times New Roman" w:hAnsi="Times New Roman"/>
                <w:sz w:val="16"/>
                <w:szCs w:val="16"/>
                <w:b w:val="1"/>
                <w:bCs w:val="1"/>
                <w:color w:val="auto"/>
                <w:w w:val="98"/>
              </w:rPr>
              <w:t>Stockholders'</w:t>
            </w:r>
          </w:p>
        </w:tc>
        <w:tc>
          <w:tcPr>
            <w:tcW w:w="0" w:type="dxa"/>
            <w:vAlign w:val="bottom"/>
          </w:tcPr>
          <w:p>
            <w:pPr>
              <w:spacing w:after="0"/>
              <w:rPr>
                <w:sz w:val="1"/>
                <w:szCs w:val="1"/>
                <w:color w:val="auto"/>
              </w:rPr>
            </w:pPr>
          </w:p>
        </w:tc>
      </w:tr>
      <w:tr>
        <w:trPr>
          <w:trHeight w:val="205"/>
        </w:trPr>
        <w:tc>
          <w:tcPr>
            <w:tcW w:w="3240" w:type="dxa"/>
            <w:vAlign w:val="bottom"/>
          </w:tcPr>
          <w:p>
            <w:pPr>
              <w:spacing w:after="0"/>
              <w:rPr>
                <w:sz w:val="17"/>
                <w:szCs w:val="17"/>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7"/>
                <w:szCs w:val="17"/>
                <w:color w:val="auto"/>
              </w:rPr>
            </w:pPr>
          </w:p>
        </w:tc>
        <w:tc>
          <w:tcPr>
            <w:tcW w:w="12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7"/>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2024</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76,744</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1,627,307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(464,251)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(30,610)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1,132,523</w:t>
            </w:r>
          </w:p>
        </w:tc>
        <w:tc>
          <w:tcPr>
            <w:tcW w:w="0" w:type="dxa"/>
            <w:vAlign w:val="bottom"/>
          </w:tcPr>
          <w:p>
            <w:pPr>
              <w:spacing w:after="0"/>
              <w:rPr>
                <w:sz w:val="1"/>
                <w:szCs w:val="1"/>
                <w:color w:val="auto"/>
              </w:rPr>
            </w:pPr>
          </w:p>
        </w:tc>
      </w:tr>
      <w:tr>
        <w:trPr>
          <w:trHeight w:val="160"/>
        </w:trPr>
        <w:tc>
          <w:tcPr>
            <w:tcW w:w="32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 of common stock on exercise of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11,281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11,281</w:t>
            </w:r>
          </w:p>
        </w:tc>
        <w:tc>
          <w:tcPr>
            <w:tcW w:w="0" w:type="dxa"/>
            <w:vAlign w:val="bottom"/>
          </w:tcPr>
          <w:p>
            <w:pPr>
              <w:spacing w:after="0"/>
              <w:rPr>
                <w:sz w:val="1"/>
                <w:szCs w:val="1"/>
                <w:color w:val="auto"/>
              </w:rPr>
            </w:pPr>
          </w:p>
        </w:tc>
      </w:tr>
      <w:tr>
        <w:trPr>
          <w:trHeight w:val="210"/>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 plan (ESPP)</w:t>
            </w: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portion of vested restricted stock units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(employee)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8,335</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(ESPP)</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15,155</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9,328</w:t>
            </w:r>
          </w:p>
        </w:tc>
        <w:tc>
          <w:tcPr>
            <w:tcW w:w="0" w:type="dxa"/>
            <w:vAlign w:val="bottom"/>
          </w:tcPr>
          <w:p>
            <w:pPr>
              <w:spacing w:after="0"/>
              <w:rPr>
                <w:sz w:val="1"/>
                <w:szCs w:val="1"/>
                <w:color w:val="auto"/>
              </w:rPr>
            </w:pPr>
          </w:p>
        </w:tc>
      </w:tr>
      <w:tr>
        <w:trPr>
          <w:trHeight w:val="233"/>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1,646,343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(449,096)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1,176,042</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73,265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1,536,168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(468,121)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1,044,102</w:t>
            </w:r>
          </w:p>
        </w:tc>
        <w:tc>
          <w:tcPr>
            <w:tcW w:w="0" w:type="dxa"/>
            <w:vAlign w:val="bottom"/>
          </w:tcPr>
          <w:p>
            <w:pPr>
              <w:spacing w:after="0"/>
              <w:rPr>
                <w:sz w:val="1"/>
                <w:szCs w:val="1"/>
                <w:color w:val="auto"/>
              </w:rPr>
            </w:pPr>
          </w:p>
        </w:tc>
      </w:tr>
      <w:tr>
        <w:trPr>
          <w:trHeight w:val="160"/>
        </w:trPr>
        <w:tc>
          <w:tcPr>
            <w:tcW w:w="32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 of common stock and options for</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74,142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74,145</w:t>
            </w:r>
          </w:p>
        </w:tc>
        <w:tc>
          <w:tcPr>
            <w:tcW w:w="0" w:type="dxa"/>
            <w:vAlign w:val="bottom"/>
          </w:tcPr>
          <w:p>
            <w:pPr>
              <w:spacing w:after="0"/>
              <w:rPr>
                <w:sz w:val="1"/>
                <w:szCs w:val="1"/>
                <w:color w:val="auto"/>
              </w:rPr>
            </w:pPr>
          </w:p>
        </w:tc>
      </w:tr>
      <w:tr>
        <w:trPr>
          <w:trHeight w:val="210"/>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acquisition</w:t>
            </w: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13,843</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portion of vested restricted stock units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(7,315)</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(employee)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25,636</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(ESPP)</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19,025</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w:t>
            </w:r>
          </w:p>
        </w:tc>
        <w:tc>
          <w:tcPr>
            <w:tcW w:w="0" w:type="dxa"/>
            <w:vAlign w:val="bottom"/>
          </w:tcPr>
          <w:p>
            <w:pPr>
              <w:spacing w:after="0"/>
              <w:rPr>
                <w:sz w:val="1"/>
                <w:szCs w:val="1"/>
                <w:color w:val="auto"/>
              </w:rPr>
            </w:pPr>
          </w:p>
        </w:tc>
      </w:tr>
      <w:tr>
        <w:trPr>
          <w:trHeight w:val="208"/>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77,491</w:t>
            </w: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1,646,343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(449,096)</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(21,282)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1,176,042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20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6"/>
                <w:szCs w:val="16"/>
                <w:color w:val="auto"/>
              </w:rPr>
            </w:pP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46"/>
        </w:trPr>
        <w:tc>
          <w:tcPr>
            <w:tcW w:w="3220" w:type="dxa"/>
            <w:vAlign w:val="bottom"/>
          </w:tcPr>
          <w:p>
            <w:pPr>
              <w:spacing w:after="0"/>
              <w:rPr>
                <w:sz w:val="12"/>
                <w:szCs w:val="12"/>
                <w:color w:val="auto"/>
              </w:rPr>
            </w:pPr>
          </w:p>
        </w:tc>
        <w:tc>
          <w:tcPr>
            <w:tcW w:w="2040" w:type="dxa"/>
            <w:vAlign w:val="bottom"/>
            <w:tcBorders>
              <w:bottom w:val="single" w:sz="8" w:color="auto"/>
            </w:tcBorders>
            <w:gridSpan w:val="3"/>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2"/>
                <w:szCs w:val="12"/>
                <w:color w:val="auto"/>
              </w:rPr>
            </w:pPr>
          </w:p>
        </w:tc>
        <w:tc>
          <w:tcPr>
            <w:tcW w:w="12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80" w:type="dxa"/>
            <w:vAlign w:val="bottom"/>
          </w:tcPr>
          <w:p>
            <w:pPr>
              <w:spacing w:after="0"/>
              <w:rPr>
                <w:sz w:val="12"/>
                <w:szCs w:val="12"/>
                <w:color w:val="auto"/>
              </w:rPr>
            </w:pPr>
          </w:p>
        </w:tc>
        <w:tc>
          <w:tcPr>
            <w:tcW w:w="1220" w:type="dxa"/>
            <w:vAlign w:val="bottom"/>
          </w:tcPr>
          <w:p>
            <w:pPr>
              <w:jc w:val="center"/>
              <w:ind w:right="100"/>
              <w:spacing w:after="0" w:line="140" w:lineRule="exact"/>
              <w:rPr>
                <w:sz w:val="20"/>
                <w:szCs w:val="20"/>
                <w:color w:val="auto"/>
              </w:rPr>
            </w:pPr>
            <w:r>
              <w:rPr>
                <w:rFonts w:ascii="Times New Roman" w:cs="Times New Roman" w:eastAsia="Times New Roman" w:hAnsi="Times New Roman"/>
                <w:sz w:val="16"/>
                <w:szCs w:val="16"/>
                <w:b w:val="1"/>
                <w:bCs w:val="1"/>
                <w:color w:val="auto"/>
                <w:w w:val="98"/>
              </w:rPr>
              <w:t>Stockholders'</w:t>
            </w:r>
          </w:p>
        </w:tc>
        <w:tc>
          <w:tcPr>
            <w:tcW w:w="0" w:type="dxa"/>
            <w:vAlign w:val="bottom"/>
          </w:tcPr>
          <w:p>
            <w:pPr>
              <w:spacing w:after="0"/>
              <w:rPr>
                <w:sz w:val="1"/>
                <w:szCs w:val="1"/>
                <w:color w:val="auto"/>
              </w:rPr>
            </w:pPr>
          </w:p>
        </w:tc>
      </w:tr>
      <w:tr>
        <w:trPr>
          <w:trHeight w:val="205"/>
        </w:trPr>
        <w:tc>
          <w:tcPr>
            <w:tcW w:w="3220" w:type="dxa"/>
            <w:vAlign w:val="bottom"/>
          </w:tcPr>
          <w:p>
            <w:pPr>
              <w:spacing w:after="0"/>
              <w:rPr>
                <w:sz w:val="17"/>
                <w:szCs w:val="17"/>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7"/>
                <w:szCs w:val="17"/>
                <w:color w:val="auto"/>
              </w:rPr>
            </w:pP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7"/>
                <w:szCs w:val="17"/>
                <w:color w:val="auto"/>
              </w:rPr>
            </w:pPr>
          </w:p>
        </w:tc>
        <w:tc>
          <w:tcPr>
            <w:tcW w:w="12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7"/>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72,643</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1,520,638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(410,210)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1,082,718</w:t>
            </w:r>
          </w:p>
        </w:tc>
        <w:tc>
          <w:tcPr>
            <w:tcW w:w="0" w:type="dxa"/>
            <w:vAlign w:val="bottom"/>
          </w:tcPr>
          <w:p>
            <w:pPr>
              <w:spacing w:after="0"/>
              <w:rPr>
                <w:sz w:val="1"/>
                <w:szCs w:val="1"/>
                <w:color w:val="auto"/>
              </w:rPr>
            </w:pPr>
          </w:p>
        </w:tc>
      </w:tr>
      <w:tr>
        <w:trPr>
          <w:trHeight w:val="160"/>
        </w:trPr>
        <w:tc>
          <w:tcPr>
            <w:tcW w:w="322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 of common stock on exercise of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0" w:type="dxa"/>
            <w:vAlign w:val="bottom"/>
          </w:tcPr>
          <w:p>
            <w:pPr>
              <w:spacing w:after="0"/>
              <w:rPr>
                <w:sz w:val="1"/>
                <w:szCs w:val="1"/>
                <w:color w:val="auto"/>
              </w:rPr>
            </w:pPr>
          </w:p>
        </w:tc>
      </w:tr>
      <w:tr>
        <w:trPr>
          <w:trHeight w:val="210"/>
        </w:trPr>
        <w:tc>
          <w:tcPr>
            <w:tcW w:w="3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portion of vested restricted stock units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(2,446)</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(employee)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6,842</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(ESPP)</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(29,618)</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(6,414)</w:t>
            </w:r>
          </w:p>
        </w:tc>
        <w:tc>
          <w:tcPr>
            <w:tcW w:w="0" w:type="dxa"/>
            <w:vAlign w:val="bottom"/>
          </w:tcPr>
          <w:p>
            <w:pPr>
              <w:spacing w:after="0"/>
              <w:rPr>
                <w:sz w:val="1"/>
                <w:szCs w:val="1"/>
                <w:color w:val="auto"/>
              </w:rPr>
            </w:pPr>
          </w:p>
        </w:tc>
      </w:tr>
      <w:tr>
        <w:trPr>
          <w:trHeight w:val="233"/>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2023</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1,528,011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(439,828)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1,054,059</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71,959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1,500,191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(393,717)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1,075,200</w:t>
            </w:r>
          </w:p>
        </w:tc>
        <w:tc>
          <w:tcPr>
            <w:tcW w:w="0" w:type="dxa"/>
            <w:vAlign w:val="bottom"/>
          </w:tcPr>
          <w:p>
            <w:pPr>
              <w:spacing w:after="0"/>
              <w:rPr>
                <w:sz w:val="1"/>
                <w:szCs w:val="1"/>
                <w:color w:val="auto"/>
              </w:rPr>
            </w:pPr>
          </w:p>
        </w:tc>
      </w:tr>
      <w:tr>
        <w:trPr>
          <w:trHeight w:val="160"/>
        </w:trPr>
        <w:tc>
          <w:tcPr>
            <w:tcW w:w="322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4,652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4,653</w:t>
            </w:r>
          </w:p>
        </w:tc>
        <w:tc>
          <w:tcPr>
            <w:tcW w:w="0" w:type="dxa"/>
            <w:vAlign w:val="bottom"/>
          </w:tcPr>
          <w:p>
            <w:pPr>
              <w:spacing w:after="0"/>
              <w:rPr>
                <w:sz w:val="1"/>
                <w:szCs w:val="1"/>
                <w:color w:val="auto"/>
              </w:rPr>
            </w:pPr>
          </w:p>
        </w:tc>
      </w:tr>
      <w:tr>
        <w:trPr>
          <w:trHeight w:val="210"/>
        </w:trPr>
        <w:tc>
          <w:tcPr>
            <w:tcW w:w="3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portion of vested restricted stock units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(5,614)</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(employee)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24,337</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(ESPP)</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(46,111)</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0" w:type="dxa"/>
            <w:vAlign w:val="bottom"/>
          </w:tcPr>
          <w:p>
            <w:pPr>
              <w:spacing w:after="0"/>
              <w:rPr>
                <w:sz w:val="1"/>
                <w:szCs w:val="1"/>
                <w:color w:val="auto"/>
              </w:rPr>
            </w:pPr>
          </w:p>
        </w:tc>
      </w:tr>
      <w:tr>
        <w:trPr>
          <w:trHeight w:val="233"/>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2023</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1,528,011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(439,828)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1,054,059</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20" w:type="dxa"/>
            <w:vAlign w:val="bottom"/>
            <w:gridSpan w:val="4"/>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1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6"/>
        </w:trPr>
        <w:tc>
          <w:tcPr>
            <w:tcW w:w="120" w:type="dxa"/>
            <w:vAlign w:val="bottom"/>
          </w:tcPr>
          <w:p>
            <w:pPr>
              <w:spacing w:after="0"/>
              <w:rPr>
                <w:sz w:val="16"/>
                <w:szCs w:val="16"/>
                <w:color w:val="auto"/>
              </w:rPr>
            </w:pPr>
          </w:p>
        </w:tc>
        <w:tc>
          <w:tcPr>
            <w:tcW w:w="7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9"/>
        </w:trPr>
        <w:tc>
          <w:tcPr>
            <w:tcW w:w="120" w:type="dxa"/>
            <w:vAlign w:val="bottom"/>
          </w:tcPr>
          <w:p>
            <w:pPr>
              <w:spacing w:after="0"/>
              <w:rPr>
                <w:sz w:val="15"/>
                <w:szCs w:val="15"/>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0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19,025</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(46,111)</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20,852</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Loss on disposal of property, plant and equipment</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25,629</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Noncash lease expense</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3,130</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Revaluation of acquisition-related contingent consideration</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Effect of foreign currency on operations</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Impairment loss</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36,310</w:t>
            </w:r>
          </w:p>
        </w:tc>
      </w:tr>
      <w:tr>
        <w:trPr>
          <w:trHeight w:val="192"/>
        </w:trPr>
        <w:tc>
          <w:tcPr>
            <w:tcW w:w="120" w:type="dxa"/>
            <w:vAlign w:val="bottom"/>
          </w:tcPr>
          <w:p>
            <w:pPr>
              <w:spacing w:after="0"/>
              <w:rPr>
                <w:sz w:val="16"/>
                <w:szCs w:val="16"/>
                <w:color w:val="auto"/>
              </w:rPr>
            </w:pPr>
          </w:p>
        </w:tc>
        <w:tc>
          <w:tcPr>
            <w:tcW w:w="7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4,650</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Supplies and inventory</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(3,225)</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liabilities and deferred revenue</w:t>
            </w: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w:t>
            </w:r>
          </w:p>
        </w:tc>
      </w:tr>
      <w:tr>
        <w:trPr>
          <w:trHeight w:val="186"/>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50,572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28,670</w:t>
            </w:r>
          </w:p>
        </w:tc>
      </w:tr>
      <w:tr>
        <w:trPr>
          <w:trHeight w:val="186"/>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C2i, net of cash acquired</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short-term investments</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(19,700)</w:t>
            </w: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 of short-term investments</w:t>
            </w:r>
          </w:p>
        </w:tc>
        <w:tc>
          <w:tcPr>
            <w:tcW w:w="200" w:type="dxa"/>
            <w:vAlign w:val="bottom"/>
          </w:tcPr>
          <w:p>
            <w:pPr>
              <w:spacing w:after="0"/>
              <w:rPr>
                <w:sz w:val="16"/>
                <w:szCs w:val="16"/>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39,773</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maturity of short-term investments</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(7,464)</w:t>
            </w:r>
          </w:p>
        </w:tc>
      </w:tr>
      <w:tr>
        <w:trPr>
          <w:trHeight w:val="199"/>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17,609</w:t>
            </w:r>
          </w:p>
        </w:tc>
      </w:tr>
      <w:tr>
        <w:trPr>
          <w:trHeight w:val="173"/>
        </w:trPr>
        <w:tc>
          <w:tcPr>
            <w:tcW w:w="120" w:type="dxa"/>
            <w:vAlign w:val="bottom"/>
          </w:tcPr>
          <w:p>
            <w:pPr>
              <w:spacing w:after="0"/>
              <w:rPr>
                <w:sz w:val="15"/>
                <w:szCs w:val="15"/>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06"/>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taxes on vested restricted stock units</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(5,614)</w:t>
            </w: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common stock options and employee stock purchases</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16,729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7,806</w:t>
            </w:r>
          </w:p>
        </w:tc>
      </w:tr>
      <w:tr>
        <w:trPr>
          <w:trHeight w:val="199"/>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w:t>
            </w:r>
          </w:p>
        </w:tc>
      </w:tr>
      <w:tr>
        <w:trPr>
          <w:trHeight w:val="185"/>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in cash, cash equivalents and restricted cash</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48,471</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foreign currency on cash, cash equivalents and restricted cash</w:t>
            </w: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185"/>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in cash, cash equivalents and restricted cash</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48,337</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 period</w:t>
            </w: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217,330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154,996</w:t>
            </w:r>
          </w:p>
        </w:tc>
      </w:tr>
      <w:tr>
        <w:trPr>
          <w:trHeight w:val="199"/>
        </w:trPr>
        <w:tc>
          <w:tcPr>
            <w:tcW w:w="120" w:type="dxa"/>
            <w:vAlign w:val="bottom"/>
          </w:tcPr>
          <w:p>
            <w:pPr>
              <w:spacing w:after="0"/>
              <w:rPr>
                <w:sz w:val="17"/>
                <w:szCs w:val="17"/>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275,159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203,333</w:t>
            </w:r>
          </w:p>
        </w:tc>
      </w:tr>
      <w:tr>
        <w:trPr>
          <w:trHeight w:val="20"/>
        </w:trPr>
        <w:tc>
          <w:tcPr>
            <w:tcW w:w="120" w:type="dxa"/>
            <w:vAlign w:val="bottom"/>
          </w:tcPr>
          <w:p>
            <w:pPr>
              <w:spacing w:after="0" w:line="20" w:lineRule="exact"/>
              <w:rPr>
                <w:sz w:val="1"/>
                <w:szCs w:val="1"/>
                <w:color w:val="auto"/>
              </w:rPr>
            </w:pPr>
          </w:p>
        </w:tc>
        <w:tc>
          <w:tcPr>
            <w:tcW w:w="7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66"/>
        </w:trPr>
        <w:tc>
          <w:tcPr>
            <w:tcW w:w="120" w:type="dxa"/>
            <w:vAlign w:val="bottom"/>
          </w:tcPr>
          <w:p>
            <w:pPr>
              <w:spacing w:after="0"/>
              <w:rPr>
                <w:sz w:val="14"/>
                <w:szCs w:val="14"/>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Supplementary cash flow information:</w:t>
            </w: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 included in accounts payable and accrued liability</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tax</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w:t>
            </w:r>
          </w:p>
        </w:tc>
      </w:tr>
      <w:tr>
        <w:trPr>
          <w:trHeight w:val="295"/>
        </w:trPr>
        <w:tc>
          <w:tcPr>
            <w:tcW w:w="7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3"/>
        </w:trPr>
        <w:tc>
          <w:tcPr>
            <w:tcW w:w="1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8"/>
                <w:szCs w:val="18"/>
                <w:color w:val="auto"/>
              </w:rPr>
            </w:pPr>
          </w:p>
        </w:tc>
        <w:tc>
          <w:tcPr>
            <w:tcW w:w="16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120" w:type="dxa"/>
            <w:vAlign w:val="bottom"/>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3"/>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274,079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216,454</w:t>
            </w: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w:t>
            </w:r>
          </w:p>
        </w:tc>
      </w:tr>
      <w:tr>
        <w:trPr>
          <w:trHeight w:val="224"/>
        </w:trPr>
        <w:tc>
          <w:tcPr>
            <w:tcW w:w="120" w:type="dxa"/>
            <w:vAlign w:val="bottom"/>
          </w:tcPr>
          <w:p>
            <w:pPr>
              <w:spacing w:after="0"/>
              <w:rPr>
                <w:sz w:val="19"/>
                <w:szCs w:val="19"/>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275,159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217,330</w:t>
            </w:r>
          </w:p>
        </w:tc>
      </w:tr>
      <w:tr>
        <w:trPr>
          <w:trHeight w:val="20"/>
        </w:trPr>
        <w:tc>
          <w:tcPr>
            <w:tcW w:w="120" w:type="dxa"/>
            <w:vAlign w:val="bottom"/>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Description of Business and Summary of Significant Accounting Policies</w:t>
      </w:r>
    </w:p>
    <w:p>
      <w:pPr>
        <w:spacing w:after="0" w:line="22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Veracyte, Inc., or Veracyte, or the Company, is a global diagnostics company that provides clinicians with tests for patients with, or potentially facing, a cancer diagnosis. Veracyte's tests are used by clinicians for diagnostic, prognostic and treatment decisions.</w:t>
      </w:r>
    </w:p>
    <w:p>
      <w:pPr>
        <w:spacing w:after="0" w:line="19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Veracyte was incorporated in the state of Delaware on August 15, 2006, as Calderome, Inc. Calderome, Inc. operated as an incubator until early 2008. On March 4, 2008, the Company changed its name to Veracyte, Inc. The Company’s headquarters are in South San Francisco, California, and it also has operations in San Diego, California; Austin, Texas; and Marseille, France.</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Company currently offers tests in prostate cancer (Decipher Prostate); thyroid cancer (Afirma); breast cancer (Prosigna); and bladder cancer (Decipher Bladder). The Company’s Percepta Nasal Swab test is being run in its Clinical Laboratory Improvement Amendments of 1988, or CLIA, certified lab in support of clinical studies and its test for lymphoma is in development as a companion diagnostic.</w:t>
      </w:r>
    </w:p>
    <w:p>
      <w:pPr>
        <w:spacing w:after="0" w:line="20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Company serves global markets with two complementary models. In the United States, it offers laboratory developed tests, or LDTs, through its centralized, CLIA certified laboratories in South San Francisco and San Diego, California, supported by its cytopathology expertise in Austin, Texas. Additionally, primarily outside of the United States, the Company provides its Prosigna test to patients through distribution to laboratories and hospitals that can perform the tests locally as an IVD test.</w:t>
      </w:r>
    </w:p>
    <w:p>
      <w:pPr>
        <w:spacing w:after="0" w:line="20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In February 2024, the Company acquired C2i, a minimal residual disease, or MRD, detection company. Refer to Note 4 Business Combination for additional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2"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accounting principles generally accepted in the United States, or GAAP. Certain information and note disclosures normally included in financial statements prepared in accordance with GAAP have been condensed or omitted pursuant to such rules and regulations. The condensed consolidated balance sheet as of September 30, 2024, the condensed consolidated statements of operations for the three and nine months ended September 30, 2024 and 2023, the condensed consolidated statements of comprehensive income (loss) for the three and nine months ended September 30, 2024 and 2023, the condensed consolidated statements of stockholders' equity for the three and nine months ended September 30, 2024 and 2023, and the condensed consolidated statements of cash flows for the nine months ended September 30, 2024 and 2023 are unaudited, but include all adjustments, consisting only of normal recurring adjustments, which the Company considers necessary for a fair presentation of its financial position, operating results, stockholders' equity and cash flows for the periods presented. The condensed consolidated balance sheet as of December 31, 2023 has been derived from audited financial statements. The results for the three and nine months ended September 30, 2024 are not indicative of the results expected for the full year or any other period. The condensed consolidated financial statements include the accounts of the Company and its wholly owned subsidiaries. All intercompany accounts and transactions have been eliminated in consolidation. The Company operates in one segment.</w:t>
      </w:r>
    </w:p>
    <w:p>
      <w:pPr>
        <w:spacing w:after="0" w:line="18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accompanying interim period condensed consolidated financial statements and related financial information included in this Quarterly Report on Form 10-Q should be read in conjunction with the audited financial statements and notes thereto included in the Company’s Annual Report on Form 10-K for the year ended December 31,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49" w:lineRule="exact"/>
        <w:rPr>
          <w:sz w:val="20"/>
          <w:szCs w:val="20"/>
          <w:color w:val="auto"/>
        </w:rPr>
      </w:pPr>
    </w:p>
    <w:p>
      <w:pPr>
        <w:jc w:val="both"/>
        <w:ind w:firstLine="319"/>
        <w:spacing w:after="0" w:line="272" w:lineRule="auto"/>
        <w:rPr>
          <w:sz w:val="20"/>
          <w:szCs w:val="20"/>
          <w:color w:val="auto"/>
        </w:rPr>
      </w:pPr>
      <w:r>
        <w:rPr>
          <w:rFonts w:ascii="Times New Roman" w:cs="Times New Roman" w:eastAsia="Times New Roman" w:hAnsi="Times New Roman"/>
          <w:sz w:val="17"/>
          <w:szCs w:val="17"/>
          <w:color w:val="auto"/>
        </w:rPr>
        <w:t>Certain prior period balances have been reclassified to conform to current period presentation of the Company’s consolidated financial statements and accompanying notes. Such reclassifications have no effect on previously reported results of operations, accumulated deficit, subtotals of operating, investing or financing cash flows or consolidated balance sheet totals; however, for the three and nine months ended September 30, 2023, the Company reclassified $4.8 million and $14.4 million, respectively, of amortization of intangible assets from the intangible asset amortization - operating expense caption in the condensed consolidated statements of operations to a separate caption, intangible asset amortization - cost of revenue, within a new cost of revenue section.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2"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The preparation of unaudited interim financial statements in conformity with GAAP requires management to make estimates and assumptions that affect the reported amounts of assets and liabilities and disclosure of contingent liabilities as of the date of the financial statements and the reported amounts of revenue and expenses during the reporting period. Significant items subject to such estimates include: revenue recognition; the useful lives of property, plant and equipment; the recoverability of long-lived assets; the incremental borrowing rates for leases; accounting for acquisitions; the estimation of the fair value of intangible assets and contingent consideration; stock based compensation; income tax uncertainties, including a valuation allowance for deferred tax assets; credit related losses on investments; and allowance for credit losses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22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deposited with two major financial institutions in the United States. Deposits in these institutions may exceed the amount of insurance provided on such deposits. The Company has not realized any losses on its deposits of cash and cash equivalents other than exchange rate losses related to foreign currency denominated accounts.</w:t>
      </w:r>
    </w:p>
    <w:p>
      <w:pPr>
        <w:spacing w:after="0" w:line="176"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Several of the components of the Company’s sample collection kits and CLIA test reagents, IVD products and associated systems, as well as the systems service and service kits, are obtained from single-source suppliers. If these single-source suppliers fail to satisfy the Company’s requirements on a timely basis, or are unable to provide the Company with reagents that perform to specifications, the Company could suffer delays in being able to deliver its diagnostic solutions, suffer a possible loss of revenue, or incur higher costs, any of which could adversely affect its operating results.</w:t>
      </w:r>
    </w:p>
    <w:p>
      <w:pPr>
        <w:spacing w:after="0" w:line="18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Through September 30, 2024, the Company has derived most of its revenue from the sale of Decipher Prostate and Afirma testing. To date, Decipher Prostate and Afirma testing have been delivered primarily to physicians in the United States.</w:t>
      </w:r>
    </w:p>
    <w:p>
      <w:pPr>
        <w:spacing w:after="0" w:line="190"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Company is also subject to credit risk from its accounts receivable related to its sales. Credit risk for accounts receivable from testing revenue is incorporated in testing revenue accrual rates as the Company assesses historical collection rates and current developments to determine accrual rates and amounts the Company will ultimately collect. The Company generally does not perform evaluations of customers’ financial condition for testing revenue and generally does not require collateral. The Company assesses credit risk and the amount of accounts receivable the Company will ultimately collect for product, biopharmaceutical and other revenue based on collection history, current developments and credit worthiness of the customer. The estimate of credit losses is not material at September 30, 2024.</w:t>
      </w:r>
    </w:p>
    <w:p>
      <w:pPr>
        <w:spacing w:after="0" w:line="21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Company’s total third-party payers and other customers in excess of 10% of total revenue and their related revenue as a percentage of total revenue were as follows:</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30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7"/>
        </w:trPr>
        <w:tc>
          <w:tcPr>
            <w:tcW w:w="4120" w:type="dxa"/>
            <w:vAlign w:val="bottom"/>
          </w:tcPr>
          <w:p>
            <w:pPr>
              <w:spacing w:after="0"/>
              <w:rPr>
                <w:sz w:val="18"/>
                <w:szCs w:val="18"/>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680" w:type="dxa"/>
            <w:vAlign w:val="bottom"/>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Medicare</w:t>
            </w:r>
          </w:p>
        </w:tc>
        <w:tc>
          <w:tcPr>
            <w:tcW w:w="1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10"/>
        </w:trPr>
        <w:tc>
          <w:tcPr>
            <w:tcW w:w="5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UnitedHealthcare</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31"/>
        </w:trPr>
        <w:tc>
          <w:tcPr>
            <w:tcW w:w="41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Company's significant third-party payers in excess of 10% of total accounts receivable and their related accounts receivable balance as a percentage of total accounts receivable were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20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96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9"/>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08"/>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UnitedHealthcare</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considers demand deposits in a bank, money market funds and highly liquid investments with an original maturity of 90 days or less to be cash equivalents.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2" w:lineRule="exact"/>
        <w:rPr>
          <w:sz w:val="20"/>
          <w:szCs w:val="20"/>
          <w:color w:val="auto"/>
        </w:rPr>
      </w:pPr>
    </w:p>
    <w:p>
      <w:pPr>
        <w:jc w:val="both"/>
        <w:ind w:right="20" w:firstLine="319"/>
        <w:spacing w:after="0" w:line="305" w:lineRule="auto"/>
        <w:rPr>
          <w:sz w:val="20"/>
          <w:szCs w:val="20"/>
          <w:color w:val="auto"/>
        </w:rPr>
      </w:pPr>
      <w:r>
        <w:rPr>
          <w:rFonts w:ascii="Times New Roman" w:cs="Times New Roman" w:eastAsia="Times New Roman" w:hAnsi="Times New Roman"/>
          <w:sz w:val="17"/>
          <w:szCs w:val="17"/>
          <w:color w:val="auto"/>
        </w:rPr>
        <w:t>The Company had deposits of $1.1 million and $0.9 million included in long-term assets as of September 30, 2024 and December 31, 2023, respectively, restricted from withdrawal and held by banks in the form of collateral for irrevocable standby letters of credit held as security for the Company's leases.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0"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the provisions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the Company has completed a service or transferred control of a product to the customer.</w:t>
      </w:r>
    </w:p>
    <w:p>
      <w:pPr>
        <w:spacing w:after="0" w:line="214"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In arrangements involving more than one service or good, each required service or good is evaluated to determine whether it qualifies as a distinct performance obligation based on whether (i) the customer can benefit from the service or good either on its own or together with other resources that are readily available and (ii) the service or good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 The consideration allocated to each distinct performance obligation is recognized as revenue when control is transferred which may be at a point in time or over time.</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Testing Revenue</w:t>
      </w:r>
    </w:p>
    <w:p>
      <w:pPr>
        <w:spacing w:after="0" w:line="234"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18"/>
          <w:szCs w:val="18"/>
          <w:color w:val="auto"/>
        </w:rPr>
        <w:t>The Company recognizes revenue from the sale of tests performed for customers, including patients and institutions, at the time test results are reported to physicians. Most tests requested by customers are sold without a written agreement; however, the Company determines that an implied contract exists with its customers for whom a physician will order the test. The Company identifies each sale of its test to a customer as a single performance obligation. A stated contract price does not exist and the transaction price for each implied contract with a customer represents variable consideration. The Company estimates the variable consideration under the portfolio approach and considers the historical reimbursement data from third-party commercial and governmental payers and patients, as well as known or anticipated reimbursement trends not reflected in the historical data. The Company monitors the estimated amount to be collected in the portfolio at each reporting period based on actual cash collections in order to assess whether a revision to the estimate is required. Both the estimate and any subsequent revision contain uncertainty and require the use of significant judgment in the estimation of the variable consideration and application of the constraint for such variable consideration. The Company analyzes its actual cash collections over the expected reimbursement period and compares it with the estimated variable consideration for each payer group and any difference is recognized as an adjustment to estimated revenue after the expected reimbursement period, subject to assessment of the risk of future revenue reversal. For the three and nine months ended September 30, 2024 and 2023, the Company recorded $3.1 million and $10.0 million and $0.9 million and $5.5 million as revenue, respectively, resulting from cash collections exceeding the estimated variable consideration related to tests reported in previous years, including revenue received from successful appeals of reimbursement denials, net of recoupments.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23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Company's product revenue primarily consists of the Prosigna IVD breast cancer assay, related diagnostic kits and services. Product revenue from diagnostic kits is generally recognized upon shipment. Shipping and handling costs incurred for product shipments are included in product revenue. Revenue is presented net of the taxes that are collected from customers and remitted to governmental authorities.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Biopharmaceutical and Other Revenue</w:t>
      </w:r>
    </w:p>
    <w:p>
      <w:pPr>
        <w:spacing w:after="0" w:line="247"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 Company enters into arrangements to license or provide access to its assets or services, including clinical and testing services, research and development, contract manufacturing and development, as well as other services, which are classified under biopharmaceutical and other revenue. Such arrangements may require the Company to deliver various rights, data, test results, manufactured diagnostic test kits, services and/or samples, including intellectual property rights/licenses and biopharmaceutical research and development services. The Company receives consideration in the form of upfront license fees; payments on delivery of data, test results or manufactured products; costs of service plus margin; and development and commercial performance milestone payments.</w:t>
      </w:r>
    </w:p>
    <w:p>
      <w:pPr>
        <w:spacing w:after="0" w:line="212"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 may include independent evidence of market price, forecasted revenue or costs, development timelines, discount rates, and probabilities of technical and regulatory success. The Company evaluates each performance obligation to determine if the obligation can be satisfied at a point in time or over time, and it measures the services delivered to the collaborative partner which are periodically reviewed based on the progress of the related program. For licenses that are bundled with other promises, the Company utilizes judgment to assess the nature of the combined performance obligation to determine whether the combined performance obligation is satisfied over time or at a point in time. The effect of any change made to an estimated input component and, therefore revenue or expense recognized, would be recorded as a change in estimate. In addition, variable consideration must be evaluated to determine if it is constrained and, therefore, excluded from the transaction price.</w:t>
      </w:r>
    </w:p>
    <w:p>
      <w:pPr>
        <w:spacing w:after="0" w:line="214"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 xml:space="preserve">At the inception of each arrangement that includes milestone payments (variable consideration), the Company evaluates whether the milestones are considered probable of being reached and estimates the amount to be included in the transaction price. Milestone payments that are not within either party’s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either party’s control, such as operational developmental milestones and any related constraint, and if necessary, adjusts its estimate of the overall transaction price. Any such adjustments are recorded on a cumulative catch-up basis, which would affect revenue and earnings in the period of adjustment. Revisions to the Company’s estimate of the transaction price may also result in negative revenue and earnings in the period of adjustment. One collaboration arrangement with milestone payments falls under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or ASC 808. These milestone payments are recognized in the same manner as milestone payments from customers and are classified under biopharmaceutical and other revenue.</w:t>
      </w:r>
    </w:p>
    <w:p>
      <w:pPr>
        <w:spacing w:after="0" w:line="21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Accounts receivable from biopharmaceutical and other revenue was $3.0 million at September 30, 2024 and $6.0 million at December 31, 2023. There was $2.0 million of deferred revenue related to these agreements at both September 30, 2024 and December 31, 2023. Revenue included in biopharmaceutical and other revenue for the three and nine months ended September 30, 2024 and 2023 was as follows (in thousands of dollars):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7"/>
        </w:trPr>
        <w:tc>
          <w:tcPr>
            <w:tcW w:w="43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Biopharmaceutical revenue</w:t>
            </w: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2,833</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10,591</w:t>
            </w:r>
          </w:p>
        </w:tc>
      </w:tr>
      <w:tr>
        <w:trPr>
          <w:trHeight w:val="210"/>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Contract manufacturing and testing</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1,243</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4,181</w:t>
            </w:r>
          </w:p>
        </w:tc>
      </w:tr>
      <w:tr>
        <w:trPr>
          <w:trHeight w:val="233"/>
        </w:trPr>
        <w:tc>
          <w:tcPr>
            <w:tcW w:w="4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3,136</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2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4,076</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14,772</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Testing Revenue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components of the Company's cost of testing services are laboratory expenses, sample collection expenses, compensation expense, license fees and royalties, depreciation, other expenses such as equipment and laboratory supplies, and allocations of facility and information technology expenses. Costs associated with performing tests are expensed as the test is processed regardless of whether and when revenue is recognized with respect to that test.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2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Cost of product revenue consists primarily of costs of purchasing diagnostic kit components, labor, installation, service and packaging and delivery costs. In addition, cost of product includes royalty costs for licensed technologies included in the Company’s products. Material related cost of product revenue is recognized in the period the related revenue is recognized. Labor and other costs are costs are recognized as they are incurred. Shipping and handling costs incurred for product shipments are included in cost of product in the condensed consolidated statements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Biopharmaceutical and Other Revenue</w:t>
      </w:r>
    </w:p>
    <w:p>
      <w:pPr>
        <w:spacing w:after="0" w:line="209" w:lineRule="exact"/>
        <w:rPr>
          <w:sz w:val="20"/>
          <w:szCs w:val="20"/>
          <w:color w:val="auto"/>
        </w:rPr>
      </w:pPr>
    </w:p>
    <w:p>
      <w:pPr>
        <w:ind w:right="60" w:firstLine="399"/>
        <w:spacing w:after="0" w:line="245" w:lineRule="auto"/>
        <w:rPr>
          <w:sz w:val="20"/>
          <w:szCs w:val="20"/>
          <w:color w:val="auto"/>
        </w:rPr>
      </w:pPr>
      <w:r>
        <w:rPr>
          <w:rFonts w:ascii="Times New Roman" w:cs="Times New Roman" w:eastAsia="Times New Roman" w:hAnsi="Times New Roman"/>
          <w:sz w:val="18"/>
          <w:szCs w:val="18"/>
          <w:color w:val="auto"/>
        </w:rPr>
        <w:t>Cost of biopharmaceutical and other revenue consists of costs of performing activities under arrangements that require the Company to license or provide access to its assets or services, including clinical and testing services, research and development, contract manufacturing and development, as well as other services.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Liability</w:t>
      </w:r>
    </w:p>
    <w:p>
      <w:pPr>
        <w:spacing w:after="0" w:line="24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Company offers a defined benefit pension plan to certain non-U.S. employees of its Veracyte SAS subsidiary. As of September 30, 2024 and December 31, 2023, the total pension obligation was $0.6 million and $0.8 million, respectively, and is included in other liabilities on the condensed consolidated balance sheets.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0" w:lineRule="exact"/>
        <w:rPr>
          <w:sz w:val="20"/>
          <w:szCs w:val="20"/>
          <w:color w:val="auto"/>
        </w:rPr>
      </w:pPr>
    </w:p>
    <w:p>
      <w:pPr>
        <w:jc w:val="both"/>
        <w:ind w:firstLine="399"/>
        <w:spacing w:after="0" w:line="242"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ASU No. 2023-09, </w:t>
      </w:r>
      <w:r>
        <w:rPr>
          <w:rFonts w:ascii="Times New Roman" w:cs="Times New Roman" w:eastAsia="Times New Roman" w:hAnsi="Times New Roman"/>
          <w:sz w:val="18"/>
          <w:szCs w:val="18"/>
          <w:i w:val="1"/>
          <w:iCs w:val="1"/>
          <w:color w:val="auto"/>
        </w:rPr>
        <w:t>Improvements to Income Tax Disclosures (Topic 740)</w:t>
      </w:r>
      <w:r>
        <w:rPr>
          <w:rFonts w:ascii="Times New Roman" w:cs="Times New Roman" w:eastAsia="Times New Roman" w:hAnsi="Times New Roman"/>
          <w:sz w:val="18"/>
          <w:szCs w:val="18"/>
          <w:color w:val="auto"/>
        </w:rPr>
        <w:t>. This update requires disaggregated information about a reporting entity’s effective tax rate reconciliation as well as additional information on income taxes paid. This ASU is effective on a prospective basis for annual periods beginning after December 15, 2024. Early adoption is also permitted for annual financial statements that have not yet been issued or made available for issuance. This ASU will result in the required additional disclosures being included in the Company's consolidated financial statements, once adopted.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Net Income (Loss) Per Common Share</w:t>
      </w:r>
    </w:p>
    <w:p>
      <w:pPr>
        <w:spacing w:after="0" w:line="22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Basic earnings (loss) per share, or EPS, is computed based on the weighted average number of common shares outstanding during the period. Diluted EPS is computed based on the sum of the weighted average number of common shares and potentially dilutive common shares outstanding during the period. In loss periods, basic and diluted loss per share are identical since the effect of potentially dilutive common shares is antidilutive and therefore excluded. Potentially dilutive common shares from equity awards are determined using the average share price for each period under the treasury stock method. In addition, proceeds from exercises of equity awards and the average amount of unrecognized compensation expense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for equity awards are assumed to be used to repurchase shares. The following table sets forth the computation of basic and diluted EPS (in thousands, except per-share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294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5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Nine Months Ended September 30,</w:t>
            </w:r>
          </w:p>
        </w:tc>
        <w:tc>
          <w:tcPr>
            <w:tcW w:w="0" w:type="dxa"/>
            <w:vAlign w:val="bottom"/>
          </w:tcPr>
          <w:p>
            <w:pPr>
              <w:spacing w:after="0"/>
              <w:rPr>
                <w:sz w:val="1"/>
                <w:szCs w:val="1"/>
                <w:color w:val="auto"/>
              </w:rPr>
            </w:pPr>
          </w:p>
        </w:tc>
      </w:tr>
      <w:tr>
        <w:trPr>
          <w:trHeight w:val="207"/>
        </w:trPr>
        <w:tc>
          <w:tcPr>
            <w:tcW w:w="53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7"/>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 for basic and diluted EPS — net income (loss) (A)</w:t>
            </w:r>
          </w:p>
        </w:tc>
        <w:tc>
          <w:tcPr>
            <w:tcW w:w="86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15,155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(46,111)</w:t>
            </w:r>
          </w:p>
        </w:tc>
        <w:tc>
          <w:tcPr>
            <w:tcW w:w="0" w:type="dxa"/>
            <w:vAlign w:val="bottom"/>
          </w:tcPr>
          <w:p>
            <w:pPr>
              <w:spacing w:after="0"/>
              <w:rPr>
                <w:sz w:val="1"/>
                <w:szCs w:val="1"/>
                <w:color w:val="auto"/>
              </w:rPr>
            </w:pPr>
          </w:p>
        </w:tc>
      </w:tr>
      <w:tr>
        <w:trPr>
          <w:trHeight w:val="210"/>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 for basic EPS — weighted average shares (B)</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77,014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72,489</w:t>
            </w:r>
          </w:p>
        </w:tc>
        <w:tc>
          <w:tcPr>
            <w:tcW w:w="0" w:type="dxa"/>
            <w:vAlign w:val="bottom"/>
          </w:tcPr>
          <w:p>
            <w:pPr>
              <w:spacing w:after="0"/>
              <w:rPr>
                <w:sz w:val="1"/>
                <w:szCs w:val="1"/>
                <w:color w:val="auto"/>
              </w:rPr>
            </w:pPr>
          </w:p>
        </w:tc>
      </w:tr>
      <w:tr>
        <w:trPr>
          <w:trHeight w:val="215"/>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potentially dilutive common stock from:</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of common stock subject to outstanding options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 units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53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Dilutive potential common shares</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0"/>
        </w:trPr>
        <w:tc>
          <w:tcPr>
            <w:tcW w:w="5360" w:type="dxa"/>
            <w:vAlign w:val="bottom"/>
          </w:tcPr>
          <w:p>
            <w:pPr>
              <w:ind w:left="20"/>
              <w:spacing w:after="0" w:line="140" w:lineRule="exact"/>
              <w:rPr>
                <w:sz w:val="20"/>
                <w:szCs w:val="20"/>
                <w:color w:val="auto"/>
              </w:rPr>
            </w:pPr>
            <w:r>
              <w:rPr>
                <w:rFonts w:ascii="Times New Roman" w:cs="Times New Roman" w:eastAsia="Times New Roman" w:hAnsi="Times New Roman"/>
                <w:sz w:val="16"/>
                <w:szCs w:val="16"/>
                <w:color w:val="auto"/>
              </w:rPr>
              <w:t>Denominator for diluted EPS — adjusted weighted average shares and assumed</w:t>
            </w:r>
          </w:p>
        </w:tc>
        <w:tc>
          <w:tcPr>
            <w:tcW w:w="8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5"/>
              </w:rPr>
              <w:t>78,465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72,805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77,340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72,489</w:t>
            </w:r>
          </w:p>
        </w:tc>
        <w:tc>
          <w:tcPr>
            <w:tcW w:w="0" w:type="dxa"/>
            <w:vAlign w:val="bottom"/>
          </w:tcPr>
          <w:p>
            <w:pPr>
              <w:spacing w:after="0"/>
              <w:rPr>
                <w:sz w:val="1"/>
                <w:szCs w:val="1"/>
                <w:color w:val="auto"/>
              </w:rPr>
            </w:pPr>
          </w:p>
        </w:tc>
      </w:tr>
      <w:tr>
        <w:trPr>
          <w:trHeight w:val="210"/>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conversions (C)</w:t>
            </w:r>
          </w:p>
        </w:tc>
        <w:tc>
          <w:tcPr>
            <w:tcW w:w="8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EPS (A / B)</w:t>
            </w:r>
          </w:p>
        </w:tc>
        <w:tc>
          <w:tcPr>
            <w:tcW w:w="86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0" w:type="dxa"/>
            <w:vAlign w:val="bottom"/>
          </w:tcPr>
          <w:p>
            <w:pPr>
              <w:spacing w:after="0"/>
              <w:rPr>
                <w:sz w:val="1"/>
                <w:szCs w:val="1"/>
                <w:color w:val="auto"/>
              </w:rPr>
            </w:pPr>
          </w:p>
        </w:tc>
      </w:tr>
      <w:tr>
        <w:trPr>
          <w:trHeight w:val="210"/>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EPS (A / C)</w:t>
            </w:r>
          </w:p>
        </w:tc>
        <w:tc>
          <w:tcPr>
            <w:tcW w:w="860" w:type="dxa"/>
            <w:vAlign w:val="bottom"/>
          </w:tcPr>
          <w:p>
            <w:pPr>
              <w:jc w:val="right"/>
              <w:ind w:right="6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8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0" w:type="dxa"/>
            <w:vAlign w:val="bottom"/>
          </w:tcPr>
          <w:p>
            <w:pPr>
              <w:spacing w:after="0"/>
              <w:rPr>
                <w:sz w:val="1"/>
                <w:szCs w:val="1"/>
                <w:color w:val="auto"/>
              </w:rPr>
            </w:pPr>
          </w:p>
        </w:tc>
      </w:tr>
      <w:tr>
        <w:trPr>
          <w:trHeight w:val="162"/>
        </w:trPr>
        <w:tc>
          <w:tcPr>
            <w:tcW w:w="53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equivalent shares excluded from the dilutive calculation due to</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 effect:</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of common stock subject to outstanding options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3,851</w:t>
            </w:r>
          </w:p>
        </w:tc>
        <w:tc>
          <w:tcPr>
            <w:tcW w:w="0" w:type="dxa"/>
            <w:vAlign w:val="bottom"/>
          </w:tcPr>
          <w:p>
            <w:pPr>
              <w:spacing w:after="0"/>
              <w:rPr>
                <w:sz w:val="1"/>
                <w:szCs w:val="1"/>
                <w:color w:val="auto"/>
              </w:rPr>
            </w:pPr>
          </w:p>
        </w:tc>
      </w:tr>
      <w:tr>
        <w:trPr>
          <w:trHeight w:val="215"/>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 units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w:t>
            </w:r>
          </w:p>
        </w:tc>
        <w:tc>
          <w:tcPr>
            <w:tcW w:w="0" w:type="dxa"/>
            <w:vAlign w:val="bottom"/>
          </w:tcPr>
          <w:p>
            <w:pPr>
              <w:spacing w:after="0"/>
              <w:rPr>
                <w:sz w:val="1"/>
                <w:szCs w:val="1"/>
                <w:color w:val="auto"/>
              </w:rPr>
            </w:pPr>
          </w:p>
        </w:tc>
      </w:tr>
      <w:tr>
        <w:trPr>
          <w:trHeight w:val="210"/>
        </w:trPr>
        <w:tc>
          <w:tcPr>
            <w:tcW w:w="5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8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33"/>
        </w:trPr>
        <w:tc>
          <w:tcPr>
            <w:tcW w:w="53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Anti-dilutive potential common shares</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Components</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changes in the carrying amounts of goodwill were as follows (in thousands of dollars):</w:t>
      </w:r>
    </w:p>
    <w:p>
      <w:pPr>
        <w:spacing w:after="0" w:line="287"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93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209"/>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702,984</w:t>
            </w:r>
          </w:p>
        </w:tc>
      </w:tr>
      <w:tr>
        <w:trPr>
          <w:trHeight w:val="210"/>
        </w:trPr>
        <w:tc>
          <w:tcPr>
            <w:tcW w:w="9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Goodwill acquired - C2i</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55,974</w:t>
            </w:r>
          </w:p>
        </w:tc>
      </w:tr>
      <w:tr>
        <w:trPr>
          <w:trHeight w:val="213"/>
        </w:trPr>
        <w:tc>
          <w:tcPr>
            <w:tcW w:w="9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Effect of foreign currency translation on Goodwill acquired - HalioDx</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3,159</w:t>
            </w:r>
          </w:p>
        </w:tc>
      </w:tr>
      <w:tr>
        <w:trPr>
          <w:trHeight w:val="208"/>
        </w:trPr>
        <w:tc>
          <w:tcPr>
            <w:tcW w:w="9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2024</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762,117</w:t>
            </w:r>
          </w:p>
        </w:tc>
      </w:tr>
      <w:tr>
        <w:trPr>
          <w:trHeight w:val="20"/>
        </w:trPr>
        <w:tc>
          <w:tcPr>
            <w:tcW w:w="9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49" w:lineRule="exact"/>
        <w:rPr>
          <w:sz w:val="20"/>
          <w:szCs w:val="20"/>
          <w:color w:val="auto"/>
        </w:rPr>
      </w:pPr>
    </w:p>
    <w:p>
      <w:pPr>
        <w:jc w:val="both"/>
        <w:ind w:right="100" w:firstLine="399"/>
        <w:spacing w:after="0" w:line="275" w:lineRule="auto"/>
        <w:rPr>
          <w:sz w:val="20"/>
          <w:szCs w:val="20"/>
          <w:color w:val="auto"/>
        </w:rPr>
      </w:pPr>
      <w:r>
        <w:rPr>
          <w:rFonts w:ascii="Times New Roman" w:cs="Times New Roman" w:eastAsia="Times New Roman" w:hAnsi="Times New Roman"/>
          <w:sz w:val="18"/>
          <w:szCs w:val="18"/>
          <w:color w:val="auto"/>
        </w:rPr>
        <w:t>Intangible assets include finite-lived product technology, customer relationships, licenses and trade names and indefinite-lived in-process research and development. Intangible assets consisted of the following (in thousands of dollars):</w:t>
      </w:r>
    </w:p>
    <w:p>
      <w:pPr>
        <w:spacing w:after="0" w:line="200" w:lineRule="exact"/>
        <w:rPr>
          <w:sz w:val="20"/>
          <w:szCs w:val="20"/>
          <w:color w:val="auto"/>
        </w:rPr>
      </w:pPr>
    </w:p>
    <w:p>
      <w:pPr>
        <w:spacing w:after="0" w:line="343"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3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Weighted Avera</w:t>
            </w:r>
          </w:p>
        </w:tc>
        <w:tc>
          <w:tcPr>
            <w:tcW w:w="0" w:type="dxa"/>
            <w:vAlign w:val="bottom"/>
          </w:tcPr>
          <w:p>
            <w:pPr>
              <w:spacing w:after="0"/>
              <w:rPr>
                <w:sz w:val="1"/>
                <w:szCs w:val="1"/>
                <w:color w:val="auto"/>
              </w:rPr>
            </w:pPr>
          </w:p>
        </w:tc>
      </w:tr>
      <w:tr>
        <w:trPr>
          <w:trHeight w:val="126"/>
        </w:trPr>
        <w:tc>
          <w:tcPr>
            <w:tcW w:w="3200" w:type="dxa"/>
            <w:vAlign w:val="bottom"/>
          </w:tcPr>
          <w:p>
            <w:pPr>
              <w:spacing w:after="0"/>
              <w:rPr>
                <w:sz w:val="10"/>
                <w:szCs w:val="10"/>
                <w:color w:val="auto"/>
              </w:rPr>
            </w:pPr>
          </w:p>
        </w:tc>
        <w:tc>
          <w:tcPr>
            <w:tcW w:w="110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0"/>
                <w:szCs w:val="10"/>
                <w:color w:val="auto"/>
              </w:rPr>
            </w:pPr>
          </w:p>
        </w:tc>
        <w:tc>
          <w:tcPr>
            <w:tcW w:w="86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0"/>
                <w:szCs w:val="10"/>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0"/>
                <w:szCs w:val="10"/>
                <w:color w:val="auto"/>
              </w:rPr>
            </w:pPr>
          </w:p>
        </w:tc>
        <w:tc>
          <w:tcPr>
            <w:tcW w:w="96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3"/>
        </w:trPr>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7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0" w:type="dxa"/>
            <w:vAlign w:val="bottom"/>
          </w:tcPr>
          <w:p>
            <w:pPr>
              <w:spacing w:after="0"/>
              <w:rPr>
                <w:sz w:val="1"/>
                <w:szCs w:val="1"/>
                <w:color w:val="auto"/>
              </w:rPr>
            </w:pPr>
          </w:p>
        </w:tc>
      </w:tr>
      <w:tr>
        <w:trPr>
          <w:trHeight w:val="213"/>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Percepta product technology</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6,667</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ind w:left="87"/>
              <w:spacing w:after="0"/>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Prosigna product technology</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2,998</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10</w:t>
            </w: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Prosigna customer relationships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445</w:t>
            </w:r>
          </w:p>
        </w:tc>
        <w:tc>
          <w:tcPr>
            <w:tcW w:w="106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LymphMark product technology</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413</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Decipher product technology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64,766</w:t>
            </w:r>
          </w:p>
        </w:tc>
        <w:tc>
          <w:tcPr>
            <w:tcW w:w="106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6</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Decipher trade names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1,757</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HalioDx developed technology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1,089</w:t>
            </w:r>
          </w:p>
        </w:tc>
        <w:tc>
          <w:tcPr>
            <w:tcW w:w="106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7</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HalioDx customer relationships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1,429</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HalioDx customer backlog</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1,729</w:t>
            </w:r>
          </w:p>
        </w:tc>
        <w:tc>
          <w:tcPr>
            <w:tcW w:w="106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C2i developed technology</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14</w:t>
            </w:r>
          </w:p>
        </w:tc>
        <w:tc>
          <w:tcPr>
            <w:tcW w:w="0" w:type="dxa"/>
            <w:vAlign w:val="bottom"/>
          </w:tcPr>
          <w:p>
            <w:pPr>
              <w:spacing w:after="0"/>
              <w:rPr>
                <w:sz w:val="1"/>
                <w:szCs w:val="1"/>
                <w:color w:val="auto"/>
              </w:rPr>
            </w:pPr>
          </w:p>
        </w:tc>
      </w:tr>
      <w:tr>
        <w:trPr>
          <w:trHeight w:val="208"/>
        </w:trPr>
        <w:tc>
          <w:tcPr>
            <w:tcW w:w="32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finite-lived intangibles</w:t>
            </w: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151,410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95,373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125,993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81,293</w:t>
            </w:r>
          </w:p>
        </w:tc>
        <w:tc>
          <w:tcPr>
            <w:tcW w:w="1060" w:type="dxa"/>
            <w:vAlign w:val="bottom"/>
            <w:tcBorders>
              <w:top w:val="single" w:sz="8" w:color="CCEEFF"/>
            </w:tcBorders>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8.4</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In-process research and development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7,300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2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intangible assets</w:t>
            </w: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88,593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right="100" w:firstLine="399"/>
        <w:spacing w:after="0" w:line="261" w:lineRule="auto"/>
        <w:rPr>
          <w:sz w:val="20"/>
          <w:szCs w:val="20"/>
          <w:color w:val="auto"/>
        </w:rPr>
      </w:pPr>
      <w:r>
        <w:rPr>
          <w:rFonts w:ascii="Times New Roman" w:cs="Times New Roman" w:eastAsia="Times New Roman" w:hAnsi="Times New Roman"/>
          <w:sz w:val="18"/>
          <w:szCs w:val="18"/>
          <w:color w:val="auto"/>
        </w:rPr>
        <w:t>Acquisition-related intangibles are generally finite-lived and are carried at cost less accumulated amortization. Amortization of the finite-lived intangible assets is recognized on a straight-line basis over their estimated lives, which approximates the pattern in which the economic benefits of the intangible assets are expected to be realized.</w:t>
      </w:r>
    </w:p>
    <w:p>
      <w:pPr>
        <w:spacing w:after="0" w:line="202" w:lineRule="exact"/>
        <w:rPr>
          <w:sz w:val="20"/>
          <w:szCs w:val="20"/>
          <w:color w:val="auto"/>
        </w:rPr>
      </w:pPr>
    </w:p>
    <w:p>
      <w:pPr>
        <w:jc w:val="both"/>
        <w:ind w:right="100" w:firstLine="399"/>
        <w:spacing w:after="0" w:line="275" w:lineRule="auto"/>
        <w:rPr>
          <w:sz w:val="20"/>
          <w:szCs w:val="20"/>
          <w:color w:val="auto"/>
        </w:rPr>
      </w:pPr>
      <w:r>
        <w:rPr>
          <w:rFonts w:ascii="Times New Roman" w:cs="Times New Roman" w:eastAsia="Times New Roman" w:hAnsi="Times New Roman"/>
          <w:sz w:val="18"/>
          <w:szCs w:val="18"/>
          <w:color w:val="auto"/>
        </w:rPr>
        <w:t>Amortization expense of $3.8 million and $5.3 million was recognized for the three months ended September 30, 2024 and 2023, respectively, and expense of $11.2 million and $16.0 million was recognized for the nine months ended September 30, 2024 and 2023, respectively.</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estimated future aggregate amortization expense as of September 30, 2024 is as follows (in thousands of dollars):</w:t>
      </w:r>
    </w:p>
    <w:p>
      <w:pPr>
        <w:spacing w:after="0" w:line="132"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9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60" w:type="dxa"/>
            <w:vAlign w:val="bottom"/>
          </w:tcPr>
          <w:p>
            <w:pPr>
              <w:spacing w:after="0"/>
              <w:rPr>
                <w:sz w:val="16"/>
                <w:szCs w:val="16"/>
                <w:color w:val="auto"/>
              </w:rPr>
            </w:pPr>
          </w:p>
        </w:tc>
        <w:tc>
          <w:tcPr>
            <w:tcW w:w="11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4"/>
        </w:trPr>
        <w:tc>
          <w:tcPr>
            <w:tcW w:w="9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6"/>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remainder of year</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3,766</w:t>
            </w:r>
          </w:p>
        </w:tc>
      </w:tr>
      <w:tr>
        <w:trPr>
          <w:trHeight w:val="210"/>
        </w:trPr>
        <w:tc>
          <w:tcPr>
            <w:tcW w:w="9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14,298</w:t>
            </w:r>
          </w:p>
        </w:tc>
      </w:tr>
      <w:tr>
        <w:trPr>
          <w:trHeight w:val="215"/>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12,790</w:t>
            </w:r>
          </w:p>
        </w:tc>
      </w:tr>
      <w:tr>
        <w:trPr>
          <w:trHeight w:val="210"/>
        </w:trPr>
        <w:tc>
          <w:tcPr>
            <w:tcW w:w="9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12,174</w:t>
            </w:r>
          </w:p>
        </w:tc>
      </w:tr>
      <w:tr>
        <w:trPr>
          <w:trHeight w:val="215"/>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12,174</w:t>
            </w:r>
          </w:p>
        </w:tc>
      </w:tr>
      <w:tr>
        <w:trPr>
          <w:trHeight w:val="210"/>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40,171</w:t>
            </w:r>
          </w:p>
        </w:tc>
      </w:tr>
      <w:tr>
        <w:trPr>
          <w:trHeight w:val="233"/>
        </w:trPr>
        <w:tc>
          <w:tcPr>
            <w:tcW w:w="9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95,373</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49" w:lineRule="exact"/>
        <w:rPr>
          <w:sz w:val="20"/>
          <w:szCs w:val="20"/>
          <w:color w:val="auto"/>
        </w:rPr>
      </w:pPr>
    </w:p>
    <w:p>
      <w:pPr>
        <w:jc w:val="both"/>
        <w:ind w:right="100" w:firstLine="399"/>
        <w:spacing w:after="0" w:line="275" w:lineRule="auto"/>
        <w:rPr>
          <w:sz w:val="20"/>
          <w:szCs w:val="20"/>
          <w:color w:val="auto"/>
        </w:rPr>
      </w:pPr>
      <w:r>
        <w:rPr>
          <w:rFonts w:ascii="Times New Roman" w:cs="Times New Roman" w:eastAsia="Times New Roman" w:hAnsi="Times New Roman"/>
          <w:sz w:val="18"/>
          <w:szCs w:val="18"/>
          <w:color w:val="auto"/>
        </w:rPr>
        <w:t>Impairment of long-lived assets for the three and nine months ended September 30, 2024 was $0.2 million and $0.6 million, respectively, of impairment of right-of-use and fixed assets in relation to exiting our Watertown facility.</w:t>
      </w:r>
    </w:p>
    <w:p>
      <w:pPr>
        <w:spacing w:after="0" w:line="190" w:lineRule="exact"/>
        <w:rPr>
          <w:sz w:val="20"/>
          <w:szCs w:val="20"/>
          <w:color w:val="auto"/>
        </w:rPr>
      </w:pPr>
    </w:p>
    <w:p>
      <w:pPr>
        <w:jc w:val="both"/>
        <w:ind w:right="100" w:firstLine="399"/>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2023, the Company concluded it had a triggering event requiring assessment of impairment for certain of its long-lived assets in conjunction with management’s decision to adopt a multi-platform IVD strategy. As a result, the Company reviewed the long-lived assets for impairment and recorded a $34.9 million impairment charge for the three months ended September 30, 2023 associated with its nCounter Dx license finite-lived</w:t>
      </w:r>
    </w:p>
    <w:p>
      <w:pPr>
        <w:spacing w:after="0" w:line="200" w:lineRule="exact"/>
        <w:rPr>
          <w:sz w:val="20"/>
          <w:szCs w:val="20"/>
          <w:color w:val="auto"/>
        </w:rPr>
      </w:pPr>
    </w:p>
    <w:p>
      <w:pPr>
        <w:spacing w:after="0" w:line="3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intangible asset. Impairment of long-lived assets for the nine months ended September 30, 2023 was $36.3 million including impairment of right-of-use and fixed assets in relation to exiting our Richmond facility.</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Supplies and Inventory</w:t>
      </w:r>
    </w:p>
    <w:p>
      <w:pPr>
        <w:spacing w:after="0" w:line="24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Supplies consisted of lab supplies and reagents to be used in the performance of testing services. Inventory related to finished and semi-finished goods used in the assembly of IVD kits related to product sales as well as raw materials consumed in the contract manufacturing process. As of September 30, 2024 and December 31, 2023, supplies and inventory consisted of the following (in thousands of dollars):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0" w:type="dxa"/>
            <w:vAlign w:val="bottom"/>
          </w:tcPr>
          <w:p>
            <w:pPr>
              <w:spacing w:after="0"/>
              <w:rPr>
                <w:sz w:val="18"/>
                <w:szCs w:val="18"/>
                <w:color w:val="auto"/>
              </w:rPr>
            </w:pPr>
          </w:p>
        </w:tc>
        <w:tc>
          <w:tcPr>
            <w:tcW w:w="16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Supplies</w:t>
            </w: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12,152</w:t>
            </w:r>
          </w:p>
        </w:tc>
      </w:tr>
      <w:tr>
        <w:trPr>
          <w:trHeight w:val="21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3,976</w:t>
            </w:r>
          </w:p>
        </w:tc>
      </w:tr>
      <w:tr>
        <w:trPr>
          <w:trHeight w:val="233"/>
        </w:trPr>
        <w:tc>
          <w:tcPr>
            <w:tcW w:w="7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supplies and inventory</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16,128</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 of dollars):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00" w:type="dxa"/>
            <w:vAlign w:val="bottom"/>
          </w:tcPr>
          <w:p>
            <w:pPr>
              <w:spacing w:after="0"/>
              <w:rPr>
                <w:sz w:val="18"/>
                <w:szCs w:val="18"/>
                <w:color w:val="auto"/>
              </w:rPr>
            </w:pPr>
          </w:p>
        </w:tc>
        <w:tc>
          <w:tcPr>
            <w:tcW w:w="16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compensation expenses</w:t>
            </w: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30,740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26,430</w:t>
            </w:r>
          </w:p>
        </w:tc>
      </w:tr>
      <w:tr>
        <w:trPr>
          <w:trHeight w:val="21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other</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13,132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11,997</w:t>
            </w:r>
          </w:p>
        </w:tc>
      </w:tr>
      <w:tr>
        <w:trPr>
          <w:trHeight w:val="233"/>
        </w:trPr>
        <w:tc>
          <w:tcPr>
            <w:tcW w:w="7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43,872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38,427</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Business Combination</w:t>
      </w:r>
    </w:p>
    <w:p>
      <w:pPr>
        <w:spacing w:after="0" w:line="24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On February 5, 2024, or the Closing Date, the Company acquired 100% of the outstanding equity interests of C2i, or the C2i Acquisition. C2i was a privately-held company that developed a novel method for estimating tumor burden in cancer patients by analyzing a patient’s cell free DNA sequence and offered post-treatment monitoring of cancer recurrence and progression by analyzing subtle changes in the pattern of the tumor’s DNA. The consideration to acquire C2i was $100.2 million, comprised of $73.3 million in the form of approximately 2.7 million shares of the Company’s common stock based on the Company's share price on the Closing Date, $0.8 million of pre-combination portion of replacement stock options issued to C2i’s continuing employees, $17.2 million of contingent consideration that has been agreed to be paid on achievement of certain milestones and the remainder in cash. The Company incurred $5.1 million of transaction costs related to the C2i Acquisition, which were recorded as general and administrative expense.</w:t>
      </w:r>
    </w:p>
    <w:p>
      <w:pPr>
        <w:spacing w:after="0" w:line="213"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As part of the agreement, the Company deposited $8.0 million of the cash consideration into escrow for meeting any unresolved or unsatisfied claims for indemnifiable damages against C2i and any special tax claims. The balance after meeting these indemnification obligations will be paid directly to the securityholders of C2i. After deducting the expenses for indemnifiable damages and tax claims the escrow amount of $5.0 million will be released 18 months from the Closing Date and the balance of $3.0 million will be released 36 months after the Closing Date. As this payment is dependent on the resolution of claims that existed as of the Closing Date, the amount deposited into escrow is included in the purchase price.</w:t>
      </w:r>
    </w:p>
    <w:p>
      <w:pPr>
        <w:spacing w:after="0" w:line="21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addition, pursuant to the Agreement and Plan of Merger, dated as of January 5, 2024, by and among the Company, C2i, Canary Merger Sub I, Inc., a Delaware corporation and wholly owned subsidiary of the Company, Veracyte Diagnostics, LLC, a Delaware limited liability company and a wholly owned subsidiary of the Company, and Fortis Advisors LLC, as the securityholders’ agent, or the Merger Agreement, the C2i noteholders are entitled to receive from the Company up to $25.0 million in contingent consideration that is dependent on the achievement of specified training requirements, licensing, regulatory and commercialization milestones and are payable in cash or shares of the Company’s common stock, at the Company's election.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Company included financial results of C2i in its consolidated financial statements from the acquisition date, which contributed zero and $1.4 million of revenue and operating loss, respectively, during the three months ended September 30, 2024 and zero and $7.5 million of revenue and operating loss, respectively, during the nine months ended September 30, 2024 including $1.3 million of severance and retention charges and $0.9 million of impairment of right-of-use asset and intangible asset amortization.</w:t>
      </w:r>
    </w:p>
    <w:p>
      <w:pPr>
        <w:spacing w:after="0" w:line="20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Assets acquired and liabilities assumed are recorded based on valuations derived from estimated fair value assessments and assumptions used by the Company. While the Company believes that its estimates and assumptions underlying the valuations are reasonable, different estimates and assumptions could result in different valuations assigned to the individual assets acquired and liabilities assumed, and the resulting amount of goodwill. The following table summarizes the preliminary fair values of assets acquired and liabilities assumed in the C2i Acquisition at the Closing Date (in thousands):</w:t>
      </w:r>
    </w:p>
    <w:p>
      <w:pPr>
        <w:spacing w:after="0" w:line="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6"/>
        </w:trPr>
        <w:tc>
          <w:tcPr>
            <w:tcW w:w="8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3"/>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2"/>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13,677</w:t>
            </w:r>
          </w:p>
        </w:tc>
      </w:tr>
      <w:tr>
        <w:trPr>
          <w:trHeight w:val="21"/>
        </w:trPr>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32"/>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1"/>
        </w:trPr>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 of use assets, operating leases</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32"/>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w:t>
            </w:r>
          </w:p>
        </w:tc>
      </w:tr>
      <w:tr>
        <w:trPr>
          <w:trHeight w:val="21"/>
        </w:trPr>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5"/>
        </w:trPr>
        <w:tc>
          <w:tcPr>
            <w:tcW w:w="84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2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47,917</w:t>
            </w:r>
          </w:p>
        </w:tc>
      </w:tr>
      <w:tr>
        <w:trPr>
          <w:trHeight w:val="21"/>
        </w:trPr>
        <w:tc>
          <w:tcPr>
            <w:tcW w:w="8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2"/>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r>
      <w:tr>
        <w:trPr>
          <w:trHeight w:val="21"/>
        </w:trPr>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2"/>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1"/>
        </w:trPr>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tax liability</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32"/>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1"/>
        </w:trPr>
        <w:tc>
          <w:tcPr>
            <w:tcW w:w="8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8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2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44,221</w:t>
            </w:r>
          </w:p>
        </w:tc>
      </w:tr>
      <w:tr>
        <w:trPr>
          <w:trHeight w:val="232"/>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55,974</w:t>
            </w:r>
          </w:p>
        </w:tc>
      </w:tr>
      <w:tr>
        <w:trPr>
          <w:trHeight w:val="21"/>
        </w:trPr>
        <w:tc>
          <w:tcPr>
            <w:tcW w:w="8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71"/>
        </w:trPr>
        <w:tc>
          <w:tcPr>
            <w:tcW w:w="8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purchase price</w:t>
            </w: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100,195</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Based on the guidance provided in ASC 805 Business Combinations, the Company accounted for the C2i Acquisition as a business combination in which the Company determined that C2i was a business which combines inputs and processes to create outputs, and substantially all of the fair value of gross assets acquired was not concentrated in a single identifiable asset or group of similar identifiable assets.</w:t>
      </w:r>
    </w:p>
    <w:p>
      <w:pPr>
        <w:spacing w:after="0" w:line="20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Company's purchase price allocation for the C2i Acquisition is preliminary and subject to revision as additional information about the fair value of the assets and liabilities becomes available. The fair values assigned to tangible and intangible assets acquired, and liabilities assumed, are based on management’s estimates and assumptions and may be subject to change as additional information is received. Primary areas that are not yet finalized are related to certain income tax items, intangible assets and goodwill. Additional information that existed as of the closing date but not known at the time of this filing may become known to the Company during the remainder of the measurement period, a period not to exceed 12 months from the Closing Date.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intangible assets acquired included IPR&amp;D assets and developed technology. The preliminary fair value of the Company's intangible assets as of the acquisition date and the method used to value these assets as well as the estimated economic lives for amortizable intangible assets were as follows (in thousands, except useful life which is in years):</w:t>
      </w:r>
    </w:p>
    <w:p>
      <w:pPr>
        <w:spacing w:after="0" w:line="233"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Estimated Useful</w:t>
            </w:r>
          </w:p>
        </w:tc>
        <w:tc>
          <w:tcPr>
            <w:tcW w:w="4020" w:type="dxa"/>
            <w:vAlign w:val="bottom"/>
          </w:tcPr>
          <w:p>
            <w:pPr>
              <w:spacing w:after="0"/>
              <w:rPr>
                <w:sz w:val="17"/>
                <w:szCs w:val="17"/>
                <w:color w:val="auto"/>
              </w:rPr>
            </w:pPr>
          </w:p>
        </w:tc>
      </w:tr>
      <w:tr>
        <w:trPr>
          <w:trHeight w:val="234"/>
        </w:trPr>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0"/>
                <w:szCs w:val="20"/>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Valuation Method</w:t>
            </w:r>
          </w:p>
        </w:tc>
      </w:tr>
      <w:tr>
        <w:trPr>
          <w:trHeight w:val="26"/>
        </w:trPr>
        <w:tc>
          <w:tcPr>
            <w:tcW w:w="3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213"/>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18"/>
                <w:szCs w:val="18"/>
                <w:color w:val="auto"/>
              </w:rPr>
            </w:pPr>
          </w:p>
        </w:tc>
      </w:tr>
      <w:tr>
        <w:trPr>
          <w:trHeight w:val="232"/>
        </w:trPr>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25,300</w:t>
            </w:r>
          </w:p>
        </w:tc>
        <w:tc>
          <w:tcPr>
            <w:tcW w:w="174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auto"/>
                <w:w w:val="99"/>
              </w:rPr>
              <w:t>15</w:t>
            </w:r>
          </w:p>
        </w:tc>
        <w:tc>
          <w:tcPr>
            <w:tcW w:w="20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Relief from royalty method</w:t>
            </w:r>
          </w:p>
        </w:tc>
      </w:tr>
      <w:tr>
        <w:trPr>
          <w:trHeight w:val="21"/>
        </w:trPr>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53"/>
        </w:trPr>
        <w:tc>
          <w:tcPr>
            <w:tcW w:w="3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IPR&amp;D assets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7"/>
              </w:rPr>
              <w:t>Indefinite</w:t>
            </w:r>
          </w:p>
        </w:tc>
        <w:tc>
          <w:tcPr>
            <w:tcW w:w="4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Multi-period excess earnings method</w:t>
            </w:r>
          </w:p>
        </w:tc>
      </w:tr>
      <w:tr>
        <w:trPr>
          <w:trHeight w:val="225"/>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acquired</w:t>
            </w: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21"/>
        </w:trPr>
        <w:tc>
          <w:tcPr>
            <w:tcW w:w="3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bl>
    <w:p>
      <w:pPr>
        <w:spacing w:after="0" w:line="3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amortization expense for all acquired intangible assets will be recognized on a straight-line basis and recorded within intangible asset amortization.</w:t>
      </w:r>
    </w:p>
    <w:p>
      <w:pPr>
        <w:spacing w:after="0" w:line="243"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intangible assets acquired. The C2i acquisition resulted in the recognition of $56.0 million of goodwill which the Company believes consists primarily of expanded market and product opportunities, including an MRD platform, which will enable new areas of genomic testing.</w:t>
      </w:r>
    </w:p>
    <w:p>
      <w:pPr>
        <w:spacing w:after="0" w:line="20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In connection with the C2i Acquisition, a net deferred tax liability was assumed with a fair value of $0.7 million which primarily relates to future intangible asset amortization which is not deductible for income tax purposes.</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Pro forma financial information (unaudited)</w:t>
      </w:r>
    </w:p>
    <w:p>
      <w:pPr>
        <w:spacing w:after="0" w:line="24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supplemental pro forma financial information has been prepared using the acquisition method of accounting and is based on the historical financial information of C2i. The supplemental pro forma financial information does not necessarily represent what the combined companies' revenue or results of operations would have been had the acquisitions been completed on January 1, 2023, nor is it intended to be a projection of future operating results of the combined company. It also does not reflect any operating efficiencies or potential cost savings that might be achieved from synergies of combining C2i and the Company.</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unaudited supplemental pro forma financial information has been calculated after adjusting the results of the combined company to reflect incremental amortization expense resulting from the fair value adjustments for acquired intangible assets. Further, adjustments related to transaction costs and stock- based compensation expense are also reflected in the pro forma financial information in the table below:</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980" w:type="dxa"/>
            <w:vAlign w:val="bottom"/>
            <w:gridSpan w:val="4"/>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7"/>
        </w:trPr>
        <w:tc>
          <w:tcPr>
            <w:tcW w:w="45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4"/>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115,860</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90,342</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327,132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263,308</w:t>
            </w:r>
          </w:p>
        </w:tc>
      </w:tr>
      <w:tr>
        <w:trPr>
          <w:trHeight w:val="24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15,571</w:t>
            </w:r>
          </w:p>
        </w:tc>
        <w:tc>
          <w:tcPr>
            <w:tcW w:w="160" w:type="dxa"/>
            <w:vAlign w:val="bottom"/>
          </w:tcPr>
          <w:p>
            <w:pPr>
              <w:spacing w:after="0"/>
              <w:rPr>
                <w:sz w:val="20"/>
                <w:szCs w:val="20"/>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(34,655)</w:t>
            </w:r>
          </w:p>
        </w:tc>
        <w:tc>
          <w:tcPr>
            <w:tcW w:w="16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16,858</w:t>
            </w:r>
          </w:p>
        </w:tc>
        <w:tc>
          <w:tcPr>
            <w:tcW w:w="120" w:type="dxa"/>
            <w:vAlign w:val="bottom"/>
          </w:tcPr>
          <w:p>
            <w:pPr>
              <w:spacing w:after="0"/>
              <w:rPr>
                <w:sz w:val="20"/>
                <w:szCs w:val="20"/>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(70,620)</w:t>
            </w:r>
          </w:p>
        </w:tc>
      </w:tr>
    </w:tbl>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4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Company records certain of its financial assets and liabilities at fair value. The accounting guidance for fair value provides a framework for measuring fair value and clarifies the definition of fair value.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81" w:lineRule="exact"/>
        <w:rPr>
          <w:sz w:val="20"/>
          <w:szCs w:val="20"/>
          <w:color w:val="auto"/>
        </w:rPr>
      </w:pPr>
    </w:p>
    <w:p>
      <w:pPr>
        <w:ind w:left="800" w:hanging="315"/>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Inputs which include quoted prices in active markets for identical assets and liabilities;</w:t>
      </w:r>
    </w:p>
    <w:p>
      <w:pPr>
        <w:spacing w:after="0" w:line="112" w:lineRule="exact"/>
        <w:rPr>
          <w:rFonts w:ascii="Times New Roman" w:cs="Times New Roman" w:eastAsia="Times New Roman" w:hAnsi="Times New Roman"/>
          <w:sz w:val="18"/>
          <w:szCs w:val="18"/>
          <w:color w:val="auto"/>
        </w:rPr>
      </w:pPr>
    </w:p>
    <w:p>
      <w:pPr>
        <w:ind w:left="800" w:right="120" w:hanging="315"/>
        <w:spacing w:after="0" w:line="261"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ind w:left="800" w:hanging="315"/>
        <w:spacing w:after="0"/>
        <w:tabs>
          <w:tab w:leader="none" w:pos="8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III: Unobservable inputs that are supported by little or no market activity and that are significant to the fair value of the assets or liabilities.</w:t>
      </w:r>
    </w:p>
    <w:p>
      <w:pPr>
        <w:spacing w:after="0" w:line="25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The carrying amounts of certain financial instruments of the Company, including cash and cash equivalents, prepaid expenses and other current assets, accounts payable and accrued liabilities, approximate fair value due to their relatively short maturities. The fair value of the Company’s financial assets includes money market funds and deposits for leases of the Company's facilities. Money market funds, included in cash and cash equivalents in the accompanying condensed consolidated balance sheets, were $3.9 million and $1.4 million as of September 30, 2024 and December 31, 2023, respectively, and are Level I assets as described above. The deposits for the leases, included in restricted cash, were $1.1 million and $0.9 million as of September 30, 2024 and December 31, 2023, respectively, and are Level I assets as described above. There were no transfers between Levels 1, 2 or 3 for the three and nine months ended September 30, 2024 and 2023.</w:t>
      </w:r>
    </w:p>
    <w:p>
      <w:pPr>
        <w:spacing w:after="0" w:line="187" w:lineRule="exact"/>
        <w:rPr>
          <w:sz w:val="20"/>
          <w:szCs w:val="20"/>
          <w:color w:val="auto"/>
        </w:rPr>
      </w:pPr>
    </w:p>
    <w:p>
      <w:pPr>
        <w:jc w:val="both"/>
        <w:ind w:firstLine="399"/>
        <w:spacing w:after="0" w:line="263" w:lineRule="auto"/>
        <w:rPr>
          <w:sz w:val="20"/>
          <w:szCs w:val="20"/>
          <w:color w:val="auto"/>
        </w:rPr>
      </w:pPr>
      <w:r>
        <w:rPr>
          <w:rFonts w:ascii="Times New Roman" w:cs="Times New Roman" w:eastAsia="Times New Roman" w:hAnsi="Times New Roman"/>
          <w:sz w:val="17"/>
          <w:szCs w:val="17"/>
          <w:color w:val="auto"/>
        </w:rPr>
        <w:t>As part of the Company’s agreement to acquire the exclusive global diagnostic license to the nCounter Analysis System, the Company may pay up to an additional $10.0 million in cash, contingent upon first achievement or occurrence, by or on behalf of the Company, of the commercial launch of the first, second and third diagnostic tests for use on the nCounter multiplex analysis system. This contingency was valued at $6.1 million as of the acquisition date and is remeasured to fair value at each reporting date until the contingent consideration is settled, with the corresponding changes included in general and administrative expense in the Company's condensed consolidated statements of operations. As of September 30, 2024 and December 31, 2023, this contingency was remeasured to $3.2 million and $3.2 million, respectively. For the three and nine months ended September 30, 2024, expense of zero and $0.1 million, respectively, was recorded. For the three and nine months ended September 30, 2023, reversals of expense of $5.2 million and $5.5 million, respectively, were recorded. As of September 30, 2024, the achievement of one of the milestones is forecasted to occur within the next 12 months. As a result, $2.7 million of the contingent consideration is included in short term liabilities at September 30, 2024. In addition, the contingent consideration related to the C2i Acquisition as discussed in Note 4, is dependent on the achievement of certain milestones and is payable in cash or shares of the Company’s common stock, at the Company’s election, of up to $25 million and was valued at $17.2 million. The fair value of the contingent consideration related to the C2i Acquisition will be remeasured to fair value at each reporting date until the contingent consideration is settled, with the corresponding changes included in general and administrative expense. As of September 30, 2024, this contingency was remeasured to $18.4 million. For the three and nine months ended September 30, 2024, expense of $0.4 million and $1.2 million, respectively, was recorded. As of September 30, 2024, the achievement of one of the milestones is forecasted to occur within the next 12 months. As a result, $4.7 million of the contingent consideration is included in short term liabilities at September 30, 2024. The fair value of contingent consideration includes inputs that are not observable in the market and thus represents a Level III financial liability. The estimation of the fair value of the contingent consideration is based on the present value of the expected payments calculated by assessing the likelihood of when the related milestones would be achieved and estimating the Company's borrowing rate. These estimates form the basis for making judgments about the carrying value of the contingent consideration that are not readily apparent from other sources. Changes to the forecasts for the achievement of the milestones and the borrowing rate can significantly affect the estimated fair value of the contingent consideration. As of September 30, 2024 and December 31, 2023, the Company calculated the estimated fair value of the milestones using the following significant unobservable inputs: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Value or Range (Weighted-Average)</w:t>
            </w:r>
          </w:p>
        </w:tc>
      </w:tr>
      <w:tr>
        <w:trPr>
          <w:trHeight w:val="210"/>
        </w:trPr>
        <w:tc>
          <w:tcPr>
            <w:tcW w:w="7420" w:type="dxa"/>
            <w:vAlign w:val="bottom"/>
            <w:gridSpan w:val="2"/>
          </w:tcPr>
          <w:p>
            <w:pPr>
              <w:ind w:left="300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9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8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7"/>
        </w:trPr>
        <w:tc>
          <w:tcPr>
            <w:tcW w:w="7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4.6% - 5.8% (4.8%)</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6.8%</w:t>
            </w:r>
          </w:p>
        </w:tc>
      </w:tr>
      <w:tr>
        <w:trPr>
          <w:trHeight w:val="208"/>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Probability of achievement</w:t>
            </w:r>
          </w:p>
        </w:tc>
        <w:tc>
          <w:tcPr>
            <w:tcW w:w="186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0% - 95% (88%)</w:t>
            </w:r>
          </w:p>
        </w:tc>
        <w:tc>
          <w:tcPr>
            <w:tcW w:w="100" w:type="dxa"/>
            <w:vAlign w:val="bottom"/>
          </w:tcPr>
          <w:p>
            <w:pPr>
              <w:spacing w:after="0"/>
              <w:rPr>
                <w:sz w:val="18"/>
                <w:szCs w:val="18"/>
                <w:color w:val="auto"/>
              </w:rPr>
            </w:pPr>
          </w:p>
        </w:tc>
        <w:tc>
          <w:tcPr>
            <w:tcW w:w="18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10% - 80% (69%)</w:t>
            </w:r>
          </w:p>
        </w:tc>
      </w:tr>
    </w:tbl>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2" w:lineRule="exact"/>
        <w:rPr>
          <w:sz w:val="20"/>
          <w:szCs w:val="20"/>
          <w:color w:val="auto"/>
        </w:rPr>
      </w:pPr>
    </w:p>
    <w:p>
      <w:pPr>
        <w:jc w:val="both"/>
        <w:ind w:firstLine="399"/>
        <w:spacing w:after="0" w:line="276" w:lineRule="auto"/>
        <w:rPr>
          <w:sz w:val="20"/>
          <w:szCs w:val="20"/>
          <w:color w:val="auto"/>
        </w:rPr>
      </w:pPr>
      <w:r>
        <w:rPr>
          <w:rFonts w:ascii="Times New Roman" w:cs="Times New Roman" w:eastAsia="Times New Roman" w:hAnsi="Times New Roman"/>
          <w:sz w:val="17"/>
          <w:szCs w:val="17"/>
          <w:color w:val="auto"/>
        </w:rPr>
        <w:t>The Company leases office and laboratory facilities in South San Francisco and San Diego, California; Austin, Texas; Marseille, France; Richmond, Virginia; and Watertown, Massachusetts, and leases certain equipment under various non-cancelable lease agreements. The lease terms extend to May 2036 and contain extension of lease terms and expansion options. The leases have a weighted average remaining lease term of 6.6 years as of September 30, 2024. The Company had deposits of $1.1 million and $0.9 million included in long-term assets as of September 30, 2024 and December 31, 2023, respectively,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from withdrawal and held by banks in the form of collateral for irrevocable standby letters of credit held as security for the leases.</w:t>
      </w:r>
    </w:p>
    <w:p>
      <w:pPr>
        <w:spacing w:after="0" w:line="245"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 xml:space="preserve">The Company determined its operating lease liabilities using payments through their current expiration dates and a weighted average discount rate of 9.9% based on the rate that the Company would have to pay to borrow, on a collateralized basis, an amount equal to the lease payments in a similar economic environment. Operating lease liabilities along with the associated right-of-use assets are disclosed in the accompanying condensed consolidated balance sheets. After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or ASC 842, the Company classified its deferred rent for tenant improvements with its operating lease right-of-use assets on the consolidated balance sheets.</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as of September 30, 2024 are as follows (in thousands of dollars):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20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2024</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w:t>
            </w:r>
          </w:p>
        </w:tc>
      </w:tr>
      <w:tr>
        <w:trPr>
          <w:trHeight w:val="210"/>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7,832</w:t>
            </w:r>
          </w:p>
        </w:tc>
      </w:tr>
      <w:tr>
        <w:trPr>
          <w:trHeight w:val="215"/>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w:t>
            </w:r>
          </w:p>
        </w:tc>
      </w:tr>
      <w:tr>
        <w:trPr>
          <w:trHeight w:val="210"/>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w:t>
            </w:r>
          </w:p>
        </w:tc>
      </w:tr>
      <w:tr>
        <w:trPr>
          <w:trHeight w:val="215"/>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10,399</w:t>
            </w:r>
          </w:p>
        </w:tc>
      </w:tr>
      <w:tr>
        <w:trPr>
          <w:trHeight w:val="208"/>
        </w:trPr>
        <w:tc>
          <w:tcPr>
            <w:tcW w:w="9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27,527</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7,833</w:t>
            </w:r>
          </w:p>
        </w:tc>
      </w:tr>
      <w:tr>
        <w:trPr>
          <w:trHeight w:val="208"/>
        </w:trPr>
        <w:tc>
          <w:tcPr>
            <w:tcW w:w="9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Present value of future lease payments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19,694</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short-term lease liabilities</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7,294</w:t>
            </w:r>
          </w:p>
        </w:tc>
      </w:tr>
      <w:tr>
        <w:trPr>
          <w:trHeight w:val="233"/>
        </w:trPr>
        <w:tc>
          <w:tcPr>
            <w:tcW w:w="9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12,400</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Company recognizes operating lease expense on a straight-line basis over the non-cancelable lease period. The following table summarizes operating lease expense and cash paid for amounts included in the measurement of lease liabilities (in thousands of dollars):</w:t>
      </w: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96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07"/>
        </w:trPr>
        <w:tc>
          <w:tcPr>
            <w:tcW w:w="45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7"/>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3,830</w:t>
            </w:r>
          </w:p>
        </w:tc>
        <w:tc>
          <w:tcPr>
            <w:tcW w:w="0" w:type="dxa"/>
            <w:vAlign w:val="bottom"/>
          </w:tcPr>
          <w:p>
            <w:pPr>
              <w:spacing w:after="0"/>
              <w:rPr>
                <w:sz w:val="1"/>
                <w:szCs w:val="1"/>
                <w:color w:val="auto"/>
              </w:rPr>
            </w:pPr>
          </w:p>
        </w:tc>
      </w:tr>
      <w:tr>
        <w:trPr>
          <w:trHeight w:val="160"/>
        </w:trPr>
        <w:tc>
          <w:tcPr>
            <w:tcW w:w="450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Cash paid for amounts included in the measurement of lease</w:t>
            </w:r>
          </w:p>
        </w:tc>
        <w:tc>
          <w:tcPr>
            <w:tcW w:w="24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100" w:type="dxa"/>
            <w:vAlign w:val="bottom"/>
          </w:tcPr>
          <w:p>
            <w:pPr>
              <w:spacing w:after="0"/>
              <w:rPr>
                <w:sz w:val="13"/>
                <w:szCs w:val="13"/>
                <w:color w:val="auto"/>
              </w:rPr>
            </w:pPr>
          </w:p>
        </w:tc>
        <w:tc>
          <w:tcPr>
            <w:tcW w:w="34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100" w:type="dxa"/>
            <w:vAlign w:val="bottom"/>
          </w:tcPr>
          <w:p>
            <w:pPr>
              <w:spacing w:after="0"/>
              <w:rPr>
                <w:sz w:val="13"/>
                <w:szCs w:val="13"/>
                <w:color w:val="auto"/>
              </w:rPr>
            </w:pPr>
          </w:p>
        </w:tc>
        <w:tc>
          <w:tcPr>
            <w:tcW w:w="26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5,274</w:t>
            </w:r>
          </w:p>
        </w:tc>
        <w:tc>
          <w:tcPr>
            <w:tcW w:w="100" w:type="dxa"/>
            <w:vAlign w:val="bottom"/>
          </w:tcPr>
          <w:p>
            <w:pPr>
              <w:spacing w:after="0"/>
              <w:rPr>
                <w:sz w:val="13"/>
                <w:szCs w:val="13"/>
                <w:color w:val="auto"/>
              </w:rPr>
            </w:pPr>
          </w:p>
        </w:tc>
        <w:tc>
          <w:tcPr>
            <w:tcW w:w="380" w:type="dxa"/>
            <w:vAlign w:val="bottom"/>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3,906</w:t>
            </w:r>
          </w:p>
        </w:tc>
        <w:tc>
          <w:tcPr>
            <w:tcW w:w="0" w:type="dxa"/>
            <w:vAlign w:val="bottom"/>
          </w:tcPr>
          <w:p>
            <w:pPr>
              <w:spacing w:after="0"/>
              <w:rPr>
                <w:sz w:val="1"/>
                <w:szCs w:val="1"/>
                <w:color w:val="auto"/>
              </w:rPr>
            </w:pPr>
          </w:p>
        </w:tc>
      </w:tr>
      <w:tr>
        <w:trPr>
          <w:trHeight w:val="208"/>
        </w:trPr>
        <w:tc>
          <w:tcPr>
            <w:tcW w:w="4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liabilities</w:t>
            </w:r>
          </w:p>
        </w:tc>
        <w:tc>
          <w:tcPr>
            <w:tcW w:w="24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company has leased laboratory equipment under various financing leases. Both the total right-of-use assets and total financing lease liabilities for these financing leases were $0.1 million as of both September 30, 2024 and December 31, 2023, and are included in property, plant and equipment, net and other liabilities in the accompanying condensed consolidated balance sheets.</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Company entered into a lease agreement for a newly constructed facility in Marseille, France. The lease commenced during the nine months ended September 30, 2024 and the Company recorded a lease liability and a corresponding ROU asset of $8.0 million. The initial term of the lease is twelve years with annual rent of approximately $1.3 million, excluding common area maintenance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2" w:lineRule="exact"/>
        <w:rPr>
          <w:sz w:val="20"/>
          <w:szCs w:val="20"/>
          <w:color w:val="auto"/>
        </w:rPr>
      </w:pPr>
    </w:p>
    <w:p>
      <w:pPr>
        <w:jc w:val="both"/>
        <w:ind w:firstLine="439"/>
        <w:spacing w:after="0" w:line="275" w:lineRule="auto"/>
        <w:rPr>
          <w:sz w:val="20"/>
          <w:szCs w:val="20"/>
          <w:color w:val="auto"/>
        </w:rPr>
      </w:pPr>
      <w:r>
        <w:rPr>
          <w:rFonts w:ascii="Times New Roman" w:cs="Times New Roman" w:eastAsia="Times New Roman" w:hAnsi="Times New Roman"/>
          <w:sz w:val="18"/>
          <w:szCs w:val="18"/>
          <w:color w:val="auto"/>
        </w:rPr>
        <w:t>From time to time, the Company may be involved in legal proceedings arising in the ordinary course of business. The Company believes there is no litigation pending that could have, either individually or in the aggregate,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had reserved shares of common stock for issuance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9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8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and restricted stock units issued and outstanding</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6,172,572</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6,318,389</w:t>
            </w: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options and restricted stock units available for grant under stock option plans</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8,854,664</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5,194,399</w:t>
            </w: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available for the Employee Stock Purchase Plan</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1,051,407</w:t>
            </w:r>
          </w:p>
        </w:tc>
        <w:tc>
          <w:tcPr>
            <w:tcW w:w="100" w:type="dxa"/>
            <w:vAlign w:val="bottom"/>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1,189,513</w:t>
            </w:r>
          </w:p>
        </w:tc>
      </w:tr>
      <w:tr>
        <w:trPr>
          <w:trHeight w:val="208"/>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16,078,643</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12,702,301</w:t>
            </w:r>
          </w:p>
        </w:tc>
      </w:tr>
      <w:tr>
        <w:trPr>
          <w:trHeight w:val="20"/>
        </w:trPr>
        <w:tc>
          <w:tcPr>
            <w:tcW w:w="73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Components of Other Income</w:t>
      </w: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income, net consists of the following (in thousands of dollars):</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7"/>
        </w:trPr>
        <w:tc>
          <w:tcPr>
            <w:tcW w:w="43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French research tax credits</w:t>
            </w: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2,898</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4,518</w:t>
            </w:r>
          </w:p>
        </w:tc>
      </w:tr>
      <w:tr>
        <w:trPr>
          <w:trHeight w:val="215"/>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Gain (loss) on currency revaluation</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r>
      <w:tr>
        <w:trPr>
          <w:trHeight w:val="21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06"/>
        </w:trPr>
        <w:tc>
          <w:tcPr>
            <w:tcW w:w="4320" w:type="dxa"/>
            <w:vAlign w:val="bottom"/>
          </w:tcPr>
          <w:p>
            <w:pPr>
              <w:spacing w:after="0"/>
              <w:rPr>
                <w:sz w:val="17"/>
                <w:szCs w:val="17"/>
                <w:color w:val="auto"/>
              </w:rPr>
            </w:pPr>
          </w:p>
        </w:tc>
        <w:tc>
          <w:tcPr>
            <w:tcW w:w="1100" w:type="dxa"/>
            <w:vAlign w:val="bottom"/>
            <w:tcBorders>
              <w:bottom w:val="single" w:sz="8" w:color="auto"/>
            </w:tcBorders>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4,831</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ind w:right="102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1,967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4,148</w:t>
            </w:r>
          </w:p>
        </w:tc>
      </w:tr>
      <w:tr>
        <w:trPr>
          <w:trHeight w:val="22"/>
        </w:trPr>
        <w:tc>
          <w:tcPr>
            <w:tcW w:w="4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0"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The provision for income taxes is based on the current estimate of the annual effective tax rate applied to the Company’s year to date income or loss and is adjusted for discrete items recorded in the period. For the three months ended September 30, 2024 and 2023, the Company’s effective tax rate was 10.0% and 0.5%, respectively. For the nine months ended September 30, 2024 and 2023, the Company’s effective tax rate was 14.7% and 0.1% respectively. For the nine months ended September 30, 2024, the primary difference between the effective tax rate and the federal statutory rate is driven by unfavorable permanent differences and foreign and state taxes offset by the full valuation allowance the Company has established on its federal, state and foreign net operating losses and credits. For the nine months ended September 30, 2023, the primary difference between the effective tax rate and the federal statutory rate is driven by the full valuation allowance the Company had established on its federal, state and foreign net operating losses and credits.</w:t>
      </w:r>
    </w:p>
    <w:p>
      <w:pPr>
        <w:spacing w:after="0" w:line="213"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Company recorded income tax expense of $1.7 million and $3.3 million for the three and nine months ended September 30, 2024, respectively, and recorded income tax benefit of $0.2 million and $29.0 thousand for the three and nine months ended September 30, 2023, respectively. The provision for income taxes recorded in the three and nine months ended September 30, 2024 consists primarily of federal, state and foreign income taxes. The income tax benefit recorded in the three and nine months ended September 30, 2023 consists primarily of state and foreign income taxes.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8" w:lineRule="exact"/>
        <w:rPr>
          <w:sz w:val="20"/>
          <w:szCs w:val="20"/>
          <w:color w:val="auto"/>
        </w:rPr>
      </w:pPr>
    </w:p>
    <w:p>
      <w:pPr>
        <w:jc w:val="both"/>
        <w:ind w:firstLine="399"/>
        <w:spacing w:after="0" w:line="27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the related notes and other financial information included elsewhere in this Quarterly Report on Form 10-Q.</w:t>
      </w:r>
    </w:p>
    <w:p>
      <w:pPr>
        <w:spacing w:after="0" w:line="187" w:lineRule="exact"/>
        <w:rPr>
          <w:sz w:val="20"/>
          <w:szCs w:val="20"/>
          <w:color w:val="auto"/>
        </w:rPr>
      </w:pPr>
    </w:p>
    <w:p>
      <w:pPr>
        <w:jc w:val="both"/>
        <w:ind w:firstLine="399"/>
        <w:spacing w:after="0" w:line="257" w:lineRule="auto"/>
        <w:rPr>
          <w:sz w:val="20"/>
          <w:szCs w:val="20"/>
          <w:color w:val="auto"/>
        </w:rPr>
      </w:pPr>
      <w:r>
        <w:rPr>
          <w:rFonts w:ascii="Times New Roman" w:cs="Times New Roman" w:eastAsia="Times New Roman" w:hAnsi="Times New Roman"/>
          <w:sz w:val="18"/>
          <w:szCs w:val="18"/>
          <w:i w:val="1"/>
          <w:iCs w:val="1"/>
          <w:color w:val="auto"/>
        </w:rPr>
        <w:t>As discussed in the section titled “Special Note Regarding Forward Looking Statements,” the following discussion and analysis contains forward-looking statements that involve risks and uncertainties. Our actual results and the timing of selected events could differ materially from those discussed below. Factors that could cause or contribute to such differences include, but are not limited to, those identified below and those set forth in the section titled “Risk Factors” under Part II, Item 1A.</w:t>
      </w:r>
    </w:p>
    <w:p>
      <w:pPr>
        <w:spacing w:after="0" w:line="206"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When used in this report, all references to "Veracyte," the "company," "we," "our" and "us" refer to Veracyte, Inc., together with its consolidated subsidiaries, unless otherwise noted.</w:t>
      </w:r>
    </w:p>
    <w:p>
      <w:pPr>
        <w:spacing w:after="0" w:line="164"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Veracyte, Afirma, Percepta, Envisia, Prosigna, Lymphmark, Decipher, GRID, HalioDx, TMExplore, Brightplex, Immunosign, C2i Genomics, C2intelligence, C2inform and the Veracyte logo are registered or pending trademarks of Veracyte, Inc. and its subsidiaries in the United States and selected countries. nCounter is the registered trademark of NanoString Technologies, Inc., or NanoString, now owned by Bruker Corporation as part of Bruker Corporation’s asset acquisition of NanoString, in the United States and selected countries and used by Veracyte under license. Immunoscore is the registered trademark of Institut National de la Santé et de la Recherche Médicale, or Inserm, in the United States and selected countries and used by Veracyte under license.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are a global diagnostics company that empowers clinicians with the high-value insights they need to guide and assure patients at pivotal moments in the race to diagnose and treat cancer. Our high-performing tests enable clinicians to make more confident diagnostic, prognostic and treatment decisions, helping patients avoid unnecessary procedures and interventions, and accelerating time to appropriate treatment, thereby improving outcomes for patients all over the world.</w:t>
      </w:r>
    </w:p>
    <w:p>
      <w:pPr>
        <w:spacing w:after="0" w:line="7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We currently offer tests in prostate cancer (Decipher Prostate); thyroid cancer (Afirma); breast cancer (Prosigna); and bladder cancer (Decipher Bladder). Our Percepta Nasal Swab test is being run in our CLIA lab in support of clinical studies and our test for lymphoma is in development as a companion diagnostic.</w:t>
      </w:r>
    </w:p>
    <w:p>
      <w:pPr>
        <w:spacing w:after="0" w:line="69"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serve global markets with two complementary models. In the United States, we offer LDTs through our centralized CLIA certified laboratories in South San Francisco and San Diego, California, supported by our cytopathology expertise in Austin, Texas. Additionally, primarily outside of the United States, we provide tests to patients through distribution to laboratories and hospitals that can perform the tests locally. Today, this includes our Prosigna test, and in the future, we intend to offer Decipher Prostate and Percepta Nasal Swab as IVD tests. We believe our broad menu of advanced diagnostic tests, combined with our ability to deliver them globally, differentiates us in the diagnostics industry.</w:t>
      </w:r>
    </w:p>
    <w:p>
      <w:pPr>
        <w:spacing w:after="0" w:line="7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In February 2024, we acquired C2i, a MRD detection company, which aims to expand our role across the patient cancer journey, moving from providing early decision support to following the patient through treatment, where we will be able to help monitor the success of a therapeutic or surgical intervention, and determine the best course of action for each patient.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Factors</w:t>
      </w:r>
    </w:p>
    <w:p>
      <w:pPr>
        <w:spacing w:after="0" w:line="24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Recent interest rate changes and inflation in the United States and other markets globally, as well as the macroeconomic environment, have heightened the risk of an economic downturn, recession or heightened volatility in the capital or credit markets in the United States and globally. Moreover, the continued fluctuation of the U.S. dollar compared to other currencies, has impacted and may continue to impact our results of operations. We intend to continue to monitor macroeconomic conditions closely and may determine to take certain financial or operational actions in response to such conditions as appropriate. In addition, regional conflicts like those between Russia and Ukraine may adversely impact our business and operating results. Finally, the ongoing conflict in the Middle East and related political, military and security conditions in and around Israel may disrupt our Israel business operations and employees that we acquired through the C2i Acquisition.</w:t>
      </w:r>
    </w:p>
    <w:p>
      <w:pPr>
        <w:spacing w:after="0" w:line="213"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extent of the macroeconomic factors on our future liquidity and operational performance will depend on certain developments, the impact on our customers' operations; the impact to our sales and renewal cycles; changes in central bank policies and interest rates; rates of inflation; and changes in foreign currency exchange rates. See "Risk Factors" for further discussion.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Reported Total Test Volume</w:t>
      </w:r>
    </w:p>
    <w:p>
      <w:pPr>
        <w:spacing w:after="0" w:line="222"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Our performance depends on the number of tests that we perform and report as completed in our CLIA-certified laboratories and Prosigna tests purchased by our customers. Factors impacting the number of tests that we report as completed include, but are not limited to:</w:t>
      </w:r>
    </w:p>
    <w:p>
      <w:pPr>
        <w:spacing w:after="0" w:line="164" w:lineRule="exact"/>
        <w:rPr>
          <w:sz w:val="20"/>
          <w:szCs w:val="20"/>
          <w:color w:val="auto"/>
        </w:rPr>
      </w:pPr>
    </w:p>
    <w:p>
      <w:pPr>
        <w:ind w:left="960" w:hanging="315"/>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samples that we receive that meet the medical indication for each test performed;</w:t>
      </w:r>
    </w:p>
    <w:p>
      <w:pPr>
        <w:spacing w:after="0" w:line="24"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and quality of the sample received;</w:t>
      </w:r>
    </w:p>
    <w:p>
      <w:pPr>
        <w:spacing w:after="0" w:line="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necessary documentation, such as physician order and patient consent, required to perform, bill and collect for our tests;</w:t>
      </w:r>
    </w:p>
    <w:p>
      <w:pPr>
        <w:spacing w:after="0" w:line="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patient's ability to pay or provide necessary insurance coverage for the tests performed;</w:t>
      </w:r>
    </w:p>
    <w:p>
      <w:pPr>
        <w:spacing w:after="0" w:line="5" w:lineRule="exact"/>
        <w:rPr>
          <w:rFonts w:ascii="Times New Roman" w:cs="Times New Roman" w:eastAsia="Times New Roman" w:hAnsi="Times New Roman"/>
          <w:sz w:val="18"/>
          <w:szCs w:val="18"/>
          <w:color w:val="auto"/>
        </w:rPr>
      </w:pPr>
    </w:p>
    <w:p>
      <w:pPr>
        <w:ind w:left="960" w:hanging="315"/>
        <w:spacing w:after="0" w:line="246" w:lineRule="auto"/>
        <w:tabs>
          <w:tab w:leader="none" w:pos="9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it takes us or our customers to perform our tests and report the results, including as a result of supply chain challenges (including quality of single-source reagents);</w:t>
      </w:r>
    </w:p>
    <w:p>
      <w:pPr>
        <w:spacing w:after="0" w:line="1" w:lineRule="exact"/>
        <w:rPr>
          <w:rFonts w:ascii="Times New Roman" w:cs="Times New Roman" w:eastAsia="Times New Roman" w:hAnsi="Times New Roman"/>
          <w:sz w:val="18"/>
          <w:szCs w:val="18"/>
          <w:color w:val="auto"/>
        </w:rPr>
      </w:pPr>
    </w:p>
    <w:p>
      <w:pPr>
        <w:ind w:left="960" w:hanging="315"/>
        <w:spacing w:after="0" w:line="246" w:lineRule="auto"/>
        <w:tabs>
          <w:tab w:leader="none" w:pos="9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inherent in our business, such as the impact of workdays per period, timing of industry conferences and timing of when patient deductibles are exceeded, which also impacts the reimbursement we receive from insurers; and</w:t>
      </w:r>
    </w:p>
    <w:p>
      <w:pPr>
        <w:spacing w:after="0" w:line="1" w:lineRule="exact"/>
        <w:rPr>
          <w:rFonts w:ascii="Times New Roman" w:cs="Times New Roman" w:eastAsia="Times New Roman" w:hAnsi="Times New Roman"/>
          <w:sz w:val="18"/>
          <w:szCs w:val="18"/>
          <w:color w:val="auto"/>
        </w:rPr>
      </w:pPr>
    </w:p>
    <w:p>
      <w:pPr>
        <w:ind w:left="960" w:hanging="315"/>
        <w:spacing w:after="0" w:line="253" w:lineRule="auto"/>
        <w:tabs>
          <w:tab w:leader="none" w:pos="9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prior authorization or meet other requirements instituted by payers, benefit managers, or regulators necessary to be paid for our tests.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Adoption of and Reimbursement for our Products</w:t>
      </w:r>
    </w:p>
    <w:p>
      <w:pPr>
        <w:spacing w:after="0" w:line="222"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Revenue growth depends on our ability to secure coverage decisions, achieve broader reimbursement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 Our sales teams are aligned under our general manager-based structure to focus on specific products and global markets. If we are unable to expand the base of prescribing physicians and penetration within these accounts at an acceptable rate, or if we are not able to execute our strategy for increasing reimbursement and associated collections, we may not be able to effectively increase our revenue. We expect to continue to see pressure from payers to limit the utilization of tests, generally, and we believe more payers are deploying cost containment tactics, such as pre-authorization, reduction of the payer portion of reimbursement and employing laboratory benefit managers to reduce utilization rates. Revenue growth also depends on our ability to secure reimbursement from government payers at a reimbursement rate that is consistent with past reimbursement rates.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Recognize Revenue</w:t>
      </w:r>
    </w:p>
    <w:p>
      <w:pPr>
        <w:spacing w:after="0" w:line="247" w:lineRule="exact"/>
        <w:rPr>
          <w:sz w:val="20"/>
          <w:szCs w:val="20"/>
          <w:color w:val="auto"/>
        </w:rPr>
      </w:pPr>
    </w:p>
    <w:p>
      <w:pPr>
        <w:jc w:val="both"/>
        <w:ind w:firstLine="399"/>
        <w:spacing w:after="0" w:line="262" w:lineRule="auto"/>
        <w:rPr>
          <w:sz w:val="20"/>
          <w:szCs w:val="20"/>
          <w:color w:val="auto"/>
        </w:rPr>
      </w:pPr>
      <w:r>
        <w:rPr>
          <w:rFonts w:ascii="Times New Roman" w:cs="Times New Roman" w:eastAsia="Times New Roman" w:hAnsi="Times New Roman"/>
          <w:sz w:val="18"/>
          <w:szCs w:val="18"/>
          <w:color w:val="auto"/>
        </w:rPr>
        <w:t xml:space="preserve">We recognize revenue in accordance with the provisions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Testing Revenue</w:t>
      </w:r>
    </w:p>
    <w:p>
      <w:pPr>
        <w:spacing w:after="0" w:line="24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bill for testing services at the time of test completion as defined by the delivery of test results. We recognize revenue based on estimates of the amount that will ultimately be realized.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 Actual results could differ from those estimates and assumptions.</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w:t>
      </w:r>
    </w:p>
    <w:p>
      <w:pPr>
        <w:spacing w:after="0" w:line="176"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bill list price regardless of contract rate, but only recognize revenue from amounts that we estimate are collectible and meet our revenue recognition criteria. Revenue may not be equal to the billed amount due to a number of factors that we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consider when determining revenue accrual rates, including differences in reimbursement rates, the amounts of patient co-payments and co-insurance, the existence of secondary payers, claims denials and the amount we expect to ultimately collect. Finally, when we increase our list price, it will increase the cumulative amounts billed but may not positively impact accrued revenue. In addition, payer contracts generally include the right of offset and payers may offset payments prior to resolving disputes over tests performed.</w:t>
      </w:r>
    </w:p>
    <w:p>
      <w:pPr>
        <w:spacing w:after="0" w:line="181"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Generally, we determine accrual rates by calculating an average of reimbursement from all payers for tests performed over a four-quarter period as it reduces the effects of temporary volatility and seasonality. The periods selected to determine accrual rates typically are at least six months old because it takes a significant period of time to collect from some payers. We may also determine accrual rates based on other factors such as coverage decisions, contracts, or more recent reimbursement data as appropriate.</w:t>
      </w:r>
    </w:p>
    <w:p>
      <w:pPr>
        <w:spacing w:after="0" w:line="18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average test reimbursement rates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w:t>
      </w:r>
    </w:p>
    <w:p>
      <w:pPr>
        <w:spacing w:after="0" w:line="176"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incur expense for tests in the period in which the test is conducted and recognize revenue for tests in the period in which our revenue recognition criteria are met.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220"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Our products consist primarily of the Prosigna breast cancer assay, related diagnostic kits, and services. We recognize product revenue when control of the promised goods is transferred to our customers, in an amount that reflects the consideration expected to be received in exchange for those products.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we have transferred control of a product to the customer, meaning the customer has the ability to use and obtain the benefit of the product. We recognize product revenue for satisfied performance obligations only when there are no uncertainties regarding payment terms or transfer of control. Shipping and handling costs incurred for product shipments are charged to our customers and included in product revenue. Revenue is presented net of the taxes that are collected from customers and remitted to governmental authorities.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Biopharmaceutical and Other Revenue</w:t>
      </w:r>
    </w:p>
    <w:p>
      <w:pPr>
        <w:spacing w:after="0" w:line="220"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enter into arrangements to license or provide access to our assets or services, including clinical and testing services, research and development, contract manufacturing and development, as well as other services. Such arrangements may require us to deliver various rights, data, services, manufactured diagnostic test kits, access and/or testing services to partner biopharmaceutical and other companies. The underlying terms of these arrangements generally provide for consideration paid to us in the form of nonrefundable fees; payments on delivery of data, test results or manufactured products; costs of service plus margin; performance milestone payments; expense reimbursements and possibly royalty and/or other payments. Net sales of data or other services to our customers are recognized in accordance with ASC 606 and are classified under biopharmaceutical and other revenue. Payments received that are not related to sales or services to a customer are recorded as offsets against research and development expense or cost of biopharmaceutical and other revenue in our consolidated statements of operations.</w:t>
      </w:r>
    </w:p>
    <w:p>
      <w:pPr>
        <w:spacing w:after="0" w:line="216"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arrangements involving more than one good or service delivered to a customer, each good or service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using an adjusted market assessment approach if the selling price on a stand-alone basis is not available.</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consideration allocated to each distinct performance obligation is recognized as revenue when control is transferred which may be at a point in time or over time. Consideration associated with at-risk substantive performance milestones is recognized as revenue when it is probable that a significant reversal of the cumulative revenue recognized will not occur.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Should there be royalties, we utilize the sales and usage-based royalty exception in arrangements that resulted from the license of intellectual property, recognizing revenue generated from royalties or profit sharing as the underlying sales occur.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of Our Research and Development Expenses</w:t>
      </w:r>
    </w:p>
    <w:p>
      <w:pPr>
        <w:spacing w:after="0" w:line="209"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spend a significant amount on activities to secure clinical trial results in support of our testing and product development portfolio and on-market tests, as well as clinical validation and utilization studies. We also deploy state-of-the-art and costly genomic technologies in our discovery experiments, and our spending on these technologies may vary substantially from quarter to quarter. The timing of these research and development activities is difficult to predict, as is the timing of clinical trial enrollments and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Through September 30, 2024, we derived most of our revenue from the sale of Decipher Prostate and Afirma tests,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and other customers in excess of 10% of total revenue and their related revenue as a percentage of total revenue were as follows:</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30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7"/>
        </w:trPr>
        <w:tc>
          <w:tcPr>
            <w:tcW w:w="4120" w:type="dxa"/>
            <w:vAlign w:val="bottom"/>
          </w:tcPr>
          <w:p>
            <w:pPr>
              <w:spacing w:after="0"/>
              <w:rPr>
                <w:sz w:val="18"/>
                <w:szCs w:val="18"/>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680" w:type="dxa"/>
            <w:vAlign w:val="bottom"/>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Medicare</w:t>
            </w:r>
          </w:p>
        </w:tc>
        <w:tc>
          <w:tcPr>
            <w:tcW w:w="1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10"/>
        </w:trPr>
        <w:tc>
          <w:tcPr>
            <w:tcW w:w="5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UnitedHealthcare</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31"/>
        </w:trPr>
        <w:tc>
          <w:tcPr>
            <w:tcW w:w="41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For tests performed, we recognize the related revenue upon delivery of a patient report to the prescribing physician based on the amount that we expect to ultimately receive. In determining the amount to accrue for a delivered test, we consider factors such as payment history, payer coverage, whether there is a reimbursement contract between the payer and us, payment as a percentage of agreed upon reimbursement rate (if applicable), amount paid per test and any current development or changes that could impact reimbursement. Upon ultimate collection, the amount received is compared to previous estimates and the amount accrued is adjusted accordingly.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periods.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Testing Revenue</w:t>
      </w:r>
    </w:p>
    <w:p>
      <w:pPr>
        <w:spacing w:after="0" w:line="222"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 components of our cost of testing revenue are sample collection kit costs, reagent expenses, compensation expense, license fees and royalties, depreciation,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testing revenue as a percentage of testing revenue may vary significantly from period to period because we may not recognize all revenue in the period in which the associated costs are incurred. We expect cost of testing revenue in absolute dollars to increase as the number of tests we perform increases. However, we expect that the cost per test will decrease over time due to leveraging fixed costs, efficiencies we may gain as test volume increases and process enhancements such as automation, and other cost reductions. As we introduce new tests, initially our cost of testing revenue will be high as we expect to run suboptimal batch sizes, run quality control batches, test batches, registry samples, and generally incur costs that may suppress or reduce gross margins. This will disproportionately increase our aggregate cost of testing revenue until we achieve processing efficiencies for these new tests.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49"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17"/>
          <w:szCs w:val="17"/>
          <w:color w:val="auto"/>
        </w:rPr>
        <w:t>Our cost of product revenue consists primarily of costs of purchasing diagnostic kit components, labor, installation, service and packaging and delivery costs. In addition, cost of product revenue includes royalty costs for licensed technologies included in our products. As our Prosigna test kits are sold in various configurations with different number of tests, our product cost per test will vary based on the specific kit configuration purchased by customers.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Biopharmaceutical and Other Revenue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cost of biopharmaceutical and other revenue are the costs of performing activities under arrangements that require us to perform research and development, contract testing services, commercialization, and contract manufacturing and development. This expense is mainly composed of compensation, manufacturing and laboratory supplies, and pass-through costs.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 - Cost of Revenue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finite-lived intangible assets, acquired in business combinations, are being amortized over 4 to 15 years, using the straight-line method. Intangible asset amortization - cost of revenue includes amortization of finite-lived intangible assets related to developed and product technology utilized in our current product and service offerings and customer backlog.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2"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include expenses incurred to collect clinical samples and conduct clinical studies to develop and support our products and pipeline, as well as develop future technology. These expenses consist of compensation expenses, direct research and development expenses such as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incurred a majority of our research and development expenses in 2023 in support of our early-stage products, including Percepta Nasal Swab, as well as the development of new IVD products and discovery. In the nine months ended September 30, 2024, our research and development expenses also included support for our MRD tests. Going forward, we expect to incur significant expense as we invest in the continued development of our innovation engine, early-stage products including our MRD tests, required clinical studies and the development of current tests on multiple IVD platforms.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Selling and marketing expenses consist of compensation expenses, direct marketing expenses, professional fees, other expenses such as travel and communications costs, as well as allocation of facility and information technology expenses. Our sales team of approximately 110 representatives is organized by business unit in the U.S., with separate teams calling on thyroid cancer, and urologic cancer physicians. The business units have dedicated marketing support, as well as a marketing operations team that serves the commercial organization broadly. Prosigna sales outside of the U.S. are led by country managers and sales teams that call on laboratories and breast cancer oncologists, with dedicated marketing support.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2" w:lineRule="exact"/>
        <w:rPr>
          <w:sz w:val="20"/>
          <w:szCs w:val="20"/>
          <w:color w:val="auto"/>
        </w:rPr>
      </w:pPr>
    </w:p>
    <w:p>
      <w:pPr>
        <w:jc w:val="both"/>
        <w:ind w:firstLine="399"/>
        <w:spacing w:after="0" w:line="276" w:lineRule="auto"/>
        <w:rPr>
          <w:sz w:val="20"/>
          <w:szCs w:val="20"/>
          <w:color w:val="auto"/>
        </w:rPr>
      </w:pPr>
      <w:r>
        <w:rPr>
          <w:rFonts w:ascii="Times New Roman" w:cs="Times New Roman" w:eastAsia="Times New Roman" w:hAnsi="Times New Roman"/>
          <w:sz w:val="17"/>
          <w:szCs w:val="17"/>
          <w:color w:val="auto"/>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acquisition related costs and miscellaneous expenses, offset by allocation of facility and information technology expenses to other functions. We expect general and administrative expenses to continue to increase as we build our infrastructure to scale revenue growth, and to decline as a percentage of revenue thereafter.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 - Operating Expenses</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finite-lived intangible assets, acquired in business combinations, are being amortized over 5 to 15 years, using the straight-line method. Intangible asset amortization - operating expenses includes amortization of finite-lived intangible assets related to developed technology utilized in the development of future product and service offerings, trade names and customer relationships.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Other income (loss), net consists primarily of interest income from our cash held in interest bearing accounts, realized and unrealized gains and losses on foreign currency transactions, and French research tax credits. The French research tax credits (crédit d’impôt recherche, or CIR) are generated by our wholly owned subsidiary, Veracyte SAS, in connection with its research efforts performed in Marseille, France.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49"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functional currency of our foreign subsidiaries, Veracyte SAS and C2i Genomics, Ltd., are the Euro and the Israeli Shekel, respectively. Assets and liabilities denominated in foreign currencies are translated to U.S. dollars using the exchange rates at the balance sheet date. Foreign currency translation adjustments are recorded as a component of accumulated other comprehensive income (loss) within stockholders’ equity. Revenue and expenses from our foreign subsidiaries are translated using the monthly average exchange rates in effect during the period in which the transactions occur. Foreign currency transaction gains and losses are recorded in other income (loss), net, on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and nine months ended September 30, 2024 and 2023 (in thousands of dollars, except percentages and test volume):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9"/>
          </w:tcPr>
          <w:p>
            <w:pPr>
              <w:ind w:left="520"/>
              <w:spacing w:after="0"/>
              <w:rPr>
                <w:sz w:val="20"/>
                <w:szCs w:val="20"/>
                <w:color w:val="auto"/>
              </w:rPr>
            </w:pPr>
            <w:r>
              <w:rPr>
                <w:rFonts w:ascii="Times New Roman" w:cs="Times New Roman" w:eastAsia="Times New Roman" w:hAnsi="Times New Roman"/>
                <w:sz w:val="16"/>
                <w:szCs w:val="16"/>
                <w:b w:val="1"/>
                <w:bCs w:val="1"/>
                <w:color w:val="auto"/>
                <w:w w:val="98"/>
              </w:rPr>
              <w:t>Three Months Ended September 30,</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9"/>
          </w:tcPr>
          <w:p>
            <w:pPr>
              <w:ind w:left="620"/>
              <w:spacing w:after="0"/>
              <w:rPr>
                <w:sz w:val="20"/>
                <w:szCs w:val="20"/>
                <w:color w:val="auto"/>
              </w:rPr>
            </w:pPr>
            <w:r>
              <w:rPr>
                <w:rFonts w:ascii="Times New Roman" w:cs="Times New Roman" w:eastAsia="Times New Roman" w:hAnsi="Times New Roman"/>
                <w:sz w:val="16"/>
                <w:szCs w:val="16"/>
                <w:b w:val="1"/>
                <w:bCs w:val="1"/>
                <w:color w:val="auto"/>
                <w:w w:val="99"/>
              </w:rPr>
              <w:t>Nine Months Ended September 30,</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2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07"/>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Testing revenue</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109,536</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82,012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306,809</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236,157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5"/>
              </w:rPr>
              <w:t>30%</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revenue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(11)%</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Biopharmaceutical and other revenue</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center"/>
              <w:ind w:right="40"/>
              <w:spacing w:after="0"/>
              <w:rPr>
                <w:sz w:val="20"/>
                <w:szCs w:val="20"/>
                <w:color w:val="auto"/>
              </w:rPr>
            </w:pPr>
            <w:r>
              <w:rPr>
                <w:rFonts w:ascii="Times New Roman" w:cs="Times New Roman" w:eastAsia="Times New Roman" w:hAnsi="Times New Roman"/>
                <w:sz w:val="16"/>
                <w:szCs w:val="16"/>
                <w:color w:val="auto"/>
                <w:w w:val="99"/>
              </w:rPr>
              <w:t>(23)%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center"/>
              <w:ind w:right="40"/>
              <w:spacing w:after="0"/>
              <w:rPr>
                <w:sz w:val="20"/>
                <w:szCs w:val="20"/>
                <w:color w:val="auto"/>
              </w:rPr>
            </w:pPr>
            <w:r>
              <w:rPr>
                <w:rFonts w:ascii="Times New Roman" w:cs="Times New Roman" w:eastAsia="Times New Roman" w:hAnsi="Times New Roman"/>
                <w:sz w:val="16"/>
                <w:szCs w:val="16"/>
                <w:color w:val="auto"/>
                <w:w w:val="99"/>
              </w:rPr>
              <w:t>(34)%</w:t>
            </w:r>
          </w:p>
        </w:tc>
        <w:tc>
          <w:tcPr>
            <w:tcW w:w="0" w:type="dxa"/>
            <w:vAlign w:val="bottom"/>
          </w:tcPr>
          <w:p>
            <w:pPr>
              <w:spacing w:after="0"/>
              <w:rPr>
                <w:sz w:val="1"/>
                <w:szCs w:val="1"/>
                <w:color w:val="auto"/>
              </w:rPr>
            </w:pPr>
          </w:p>
        </w:tc>
      </w:tr>
      <w:tr>
        <w:trPr>
          <w:trHeight w:val="208"/>
        </w:trPr>
        <w:tc>
          <w:tcPr>
            <w:tcW w:w="3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115,860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90,108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327,132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262,852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5"/>
              </w:rPr>
              <w:t>24%</w:t>
            </w:r>
          </w:p>
        </w:tc>
        <w:tc>
          <w:tcPr>
            <w:tcW w:w="0" w:type="dxa"/>
            <w:vAlign w:val="bottom"/>
          </w:tcPr>
          <w:p>
            <w:pPr>
              <w:spacing w:after="0"/>
              <w:rPr>
                <w:sz w:val="1"/>
                <w:szCs w:val="1"/>
                <w:color w:val="auto"/>
              </w:rPr>
            </w:pPr>
          </w:p>
        </w:tc>
      </w:tr>
      <w:tr>
        <w:trPr>
          <w:trHeight w:val="203"/>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testing revenue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5"/>
              </w:rPr>
              <w:t>28%</w:t>
            </w:r>
          </w:p>
        </w:tc>
        <w:tc>
          <w:tcPr>
            <w:tcW w:w="0" w:type="dxa"/>
            <w:vAlign w:val="bottom"/>
          </w:tcPr>
          <w:p>
            <w:pPr>
              <w:spacing w:after="0"/>
              <w:rPr>
                <w:sz w:val="1"/>
                <w:szCs w:val="1"/>
                <w:color w:val="auto"/>
              </w:rPr>
            </w:pPr>
          </w:p>
        </w:tc>
      </w:tr>
      <w:tr>
        <w:trPr>
          <w:trHeight w:val="210"/>
        </w:trPr>
        <w:tc>
          <w:tcPr>
            <w:tcW w:w="3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 revenue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(9)%</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(17)%</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 - cost of revenue</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center"/>
              <w:ind w:right="40"/>
              <w:spacing w:after="0"/>
              <w:rPr>
                <w:sz w:val="20"/>
                <w:szCs w:val="20"/>
                <w:color w:val="auto"/>
              </w:rPr>
            </w:pPr>
            <w:r>
              <w:rPr>
                <w:rFonts w:ascii="Times New Roman" w:cs="Times New Roman" w:eastAsia="Times New Roman" w:hAnsi="Times New Roman"/>
                <w:sz w:val="16"/>
                <w:szCs w:val="16"/>
                <w:color w:val="auto"/>
                <w:w w:val="99"/>
              </w:rPr>
              <w:t>(39)%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14,429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center"/>
              <w:ind w:right="40"/>
              <w:spacing w:after="0"/>
              <w:rPr>
                <w:sz w:val="20"/>
                <w:szCs w:val="20"/>
                <w:color w:val="auto"/>
              </w:rPr>
            </w:pPr>
            <w:r>
              <w:rPr>
                <w:rFonts w:ascii="Times New Roman" w:cs="Times New Roman" w:eastAsia="Times New Roman" w:hAnsi="Times New Roman"/>
                <w:sz w:val="16"/>
                <w:szCs w:val="16"/>
                <w:color w:val="auto"/>
                <w:w w:val="99"/>
              </w:rPr>
              <w:t>(39)%</w:t>
            </w:r>
          </w:p>
        </w:tc>
        <w:tc>
          <w:tcPr>
            <w:tcW w:w="0" w:type="dxa"/>
            <w:vAlign w:val="bottom"/>
          </w:tcPr>
          <w:p>
            <w:pPr>
              <w:spacing w:after="0"/>
              <w:rPr>
                <w:sz w:val="1"/>
                <w:szCs w:val="1"/>
                <w:color w:val="auto"/>
              </w:rPr>
            </w:pPr>
          </w:p>
        </w:tc>
      </w:tr>
      <w:tr>
        <w:trPr>
          <w:trHeight w:val="208"/>
        </w:trPr>
        <w:tc>
          <w:tcPr>
            <w:tcW w:w="3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cost of revenue</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107,741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97,956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5"/>
              </w:rPr>
              <w:t>10%</w:t>
            </w:r>
          </w:p>
        </w:tc>
        <w:tc>
          <w:tcPr>
            <w:tcW w:w="0" w:type="dxa"/>
            <w:vAlign w:val="bottom"/>
          </w:tcPr>
          <w:p>
            <w:pPr>
              <w:spacing w:after="0"/>
              <w:rPr>
                <w:sz w:val="1"/>
                <w:szCs w:val="1"/>
                <w:color w:val="auto"/>
              </w:rPr>
            </w:pPr>
          </w:p>
        </w:tc>
      </w:tr>
      <w:tr>
        <w:trPr>
          <w:trHeight w:val="204"/>
        </w:trPr>
        <w:tc>
          <w:tcPr>
            <w:tcW w:w="3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79,010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57,687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21,323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center"/>
              <w:ind w:right="2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219,391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164,896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54,495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center"/>
              <w:ind w:right="40"/>
              <w:spacing w:after="0"/>
              <w:rPr>
                <w:sz w:val="20"/>
                <w:szCs w:val="20"/>
                <w:color w:val="auto"/>
              </w:rPr>
            </w:pPr>
            <w:r>
              <w:rPr>
                <w:rFonts w:ascii="Times New Roman" w:cs="Times New Roman" w:eastAsia="Times New Roman" w:hAnsi="Times New Roman"/>
                <w:sz w:val="16"/>
                <w:szCs w:val="16"/>
                <w:color w:val="auto"/>
                <w:w w:val="95"/>
              </w:rPr>
              <w:t>33%</w:t>
            </w:r>
          </w:p>
        </w:tc>
        <w:tc>
          <w:tcPr>
            <w:tcW w:w="0" w:type="dxa"/>
            <w:vAlign w:val="bottom"/>
          </w:tcPr>
          <w:p>
            <w:pPr>
              <w:spacing w:after="0"/>
              <w:rPr>
                <w:sz w:val="1"/>
                <w:szCs w:val="1"/>
                <w:color w:val="auto"/>
              </w:rPr>
            </w:pPr>
          </w:p>
        </w:tc>
      </w:tr>
      <w:tr>
        <w:trPr>
          <w:trHeight w:val="19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5"/>
              </w:rPr>
              <w:t>29%</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(7)%</w:t>
            </w:r>
          </w:p>
        </w:tc>
        <w:tc>
          <w:tcPr>
            <w:tcW w:w="0" w:type="dxa"/>
            <w:vAlign w:val="bottom"/>
          </w:tcPr>
          <w:p>
            <w:pPr>
              <w:spacing w:after="0"/>
              <w:rPr>
                <w:sz w:val="1"/>
                <w:szCs w:val="1"/>
                <w:color w:val="auto"/>
              </w:rPr>
            </w:pPr>
          </w:p>
        </w:tc>
      </w:tr>
      <w:tr>
        <w:trPr>
          <w:trHeight w:val="210"/>
        </w:trPr>
        <w:tc>
          <w:tcPr>
            <w:tcW w:w="3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5"/>
              </w:rPr>
              <w:t>34%</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(98)%</w:t>
            </w:r>
          </w:p>
        </w:tc>
        <w:tc>
          <w:tcPr>
            <w:tcW w:w="0" w:type="dxa"/>
            <w:vAlign w:val="bottom"/>
          </w:tcPr>
          <w:p>
            <w:pPr>
              <w:spacing w:after="0"/>
              <w:rPr>
                <w:sz w:val="1"/>
                <w:szCs w:val="1"/>
                <w:color w:val="auto"/>
              </w:rPr>
            </w:pPr>
          </w:p>
        </w:tc>
      </w:tr>
      <w:tr>
        <w:trPr>
          <w:trHeight w:val="160"/>
        </w:trPr>
        <w:tc>
          <w:tcPr>
            <w:tcW w:w="322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Intangible asset amortization - operating</w:t>
            </w: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center"/>
              <w:ind w:right="20"/>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center"/>
              <w:ind w:right="40"/>
              <w:spacing w:after="0"/>
              <w:rPr>
                <w:sz w:val="20"/>
                <w:szCs w:val="20"/>
                <w:color w:val="auto"/>
              </w:rPr>
            </w:pPr>
            <w:r>
              <w:rPr>
                <w:rFonts w:ascii="Times New Roman" w:cs="Times New Roman" w:eastAsia="Times New Roman" w:hAnsi="Times New Roman"/>
                <w:sz w:val="16"/>
                <w:szCs w:val="16"/>
                <w:color w:val="auto"/>
                <w:w w:val="95"/>
              </w:rPr>
              <w:t>58%</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expenses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66,993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89,426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(25)%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207,424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215,184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(4)%</w:t>
            </w:r>
          </w:p>
        </w:tc>
        <w:tc>
          <w:tcPr>
            <w:tcW w:w="0" w:type="dxa"/>
            <w:vAlign w:val="bottom"/>
          </w:tcPr>
          <w:p>
            <w:pPr>
              <w:spacing w:after="0"/>
              <w:rPr>
                <w:sz w:val="1"/>
                <w:szCs w:val="1"/>
                <w:color w:val="auto"/>
              </w:rPr>
            </w:pPr>
          </w:p>
        </w:tc>
      </w:tr>
      <w:tr>
        <w:trPr>
          <w:trHeight w:val="204"/>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(138)%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(124)%</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6"/>
              </w:rPr>
              <w:t>149%</w:t>
            </w:r>
          </w:p>
        </w:tc>
        <w:tc>
          <w:tcPr>
            <w:tcW w:w="0" w:type="dxa"/>
            <w:vAlign w:val="bottom"/>
          </w:tcPr>
          <w:p>
            <w:pPr>
              <w:spacing w:after="0"/>
              <w:rPr>
                <w:sz w:val="1"/>
                <w:szCs w:val="1"/>
                <w:color w:val="auto"/>
              </w:rPr>
            </w:pPr>
          </w:p>
        </w:tc>
      </w:tr>
      <w:tr>
        <w:trPr>
          <w:trHeight w:val="204"/>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(148)%</w:t>
            </w: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(1,199)%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(11,397)%</w:t>
            </w:r>
          </w:p>
        </w:tc>
        <w:tc>
          <w:tcPr>
            <w:tcW w:w="0" w:type="dxa"/>
            <w:vAlign w:val="bottom"/>
          </w:tcPr>
          <w:p>
            <w:pPr>
              <w:spacing w:after="0"/>
              <w:rPr>
                <w:sz w:val="1"/>
                <w:szCs w:val="1"/>
                <w:color w:val="auto"/>
              </w:rPr>
            </w:pPr>
          </w:p>
        </w:tc>
      </w:tr>
      <w:tr>
        <w:trPr>
          <w:trHeight w:val="208"/>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(29,618)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(151)%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19,025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(46,111)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(141)%</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Operating Data:</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Diagnostic tests reported</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5"/>
              </w:rPr>
              <w:t>23%</w:t>
            </w: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tests sold</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(22)%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(10)%</w:t>
            </w:r>
          </w:p>
        </w:tc>
        <w:tc>
          <w:tcPr>
            <w:tcW w:w="0" w:type="dxa"/>
            <w:vAlign w:val="bottom"/>
          </w:tcPr>
          <w:p>
            <w:pPr>
              <w:spacing w:after="0"/>
              <w:rPr>
                <w:sz w:val="1"/>
                <w:szCs w:val="1"/>
                <w:color w:val="auto"/>
              </w:rPr>
            </w:pPr>
          </w:p>
        </w:tc>
      </w:tr>
      <w:tr>
        <w:trPr>
          <w:trHeight w:val="208"/>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test volume</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39,032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32,544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111,479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93,141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5"/>
              </w:rPr>
              <w:t>20%</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5,878</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(20)%</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17,206</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(17)%</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3"/>
              </w:rPr>
              <w:t>3%</w:t>
            </w: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Revenue increased $25.8 million for the three months ended September 30, 2024 compared to the same period in 2023. This was primarily due to a $27.5 million increase in testing revenue, partially offset by a $0.9 million decrease in our biopharmaceutical and other revenue and a $0.8 million decrease in our product revenue. The 34% growth in testing revenue was primarily driven by a 24% volume increase and an 8% average selling price increase between our Decipher Prostate and Afirma products for the three months ended September 30, 2024.</w:t>
      </w:r>
    </w:p>
    <w:p>
      <w:pPr>
        <w:spacing w:after="0" w:line="20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Revenue increased $64.3 million for the nine months ended September 30, 2024 compared to the same period in 2023. This was primarily due to a $70.7 million increase in testing revenue driven by a 23% volume increase and a 6% average selling price increase, partially offset by a $5.1 million decrease in our biopharmaceutical and other revenue and a $1.3 million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decrease in our product revenue. The increase in testing revenue and tests reported for the nine months ended September 30, 2024 was due to Decipher Prostate and Afirma tests.</w:t>
      </w:r>
    </w:p>
    <w:p>
      <w:pPr>
        <w:spacing w:after="0" w:line="19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Product revenue decreased $0.8 million for the three months ended September 30, 2024 and decreased $1.3 million for the nine months ended September 30, 2024 compared to the same periods in 2023. The three and nine months result was primarily driven by lower demand for product test kits, largely as a result of our transition to other IVD platforms and supply chain issues.</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Biopharmaceutical and other revenue decreased by $0.9 million for the three months ended September 30, 2024 and decreased by $5.1 million for the nine months ended September 30, 2024 compared to the same periods in 2023, driven primarily by the reduction of customer projects given overall spending constraints across the industry.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and nine months ended September 30, 2024 and 2023 is as follows (in thousands of dollars, except percentages):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9"/>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9"/>
          </w:tcPr>
          <w:p>
            <w:pPr>
              <w:ind w:left="5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8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7"/>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testing revenue:</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Laboratory costs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43,517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34,278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Sample collection costs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10"/>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License fees and royalties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0"/>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8,694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0" w:type="dxa"/>
            <w:vAlign w:val="bottom"/>
          </w:tcPr>
          <w:p>
            <w:pPr>
              <w:spacing w:after="0"/>
              <w:rPr>
                <w:sz w:val="1"/>
                <w:szCs w:val="1"/>
                <w:color w:val="auto"/>
              </w:rPr>
            </w:pPr>
          </w:p>
        </w:tc>
      </w:tr>
      <w:tr>
        <w:trPr>
          <w:trHeight w:val="233"/>
        </w:trPr>
        <w:tc>
          <w:tcPr>
            <w:tcW w:w="3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82,928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64,808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Cost of product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costs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0"/>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License fees and royalties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290 %</w:t>
            </w:r>
          </w:p>
        </w:tc>
        <w:tc>
          <w:tcPr>
            <w:tcW w:w="0" w:type="dxa"/>
            <w:vAlign w:val="bottom"/>
          </w:tcPr>
          <w:p>
            <w:pPr>
              <w:spacing w:after="0"/>
              <w:rPr>
                <w:sz w:val="1"/>
                <w:szCs w:val="1"/>
                <w:color w:val="auto"/>
              </w:rPr>
            </w:pPr>
          </w:p>
        </w:tc>
      </w:tr>
      <w:tr>
        <w:trPr>
          <w:trHeight w:val="210"/>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418 %</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434 %</w:t>
            </w:r>
          </w:p>
        </w:tc>
        <w:tc>
          <w:tcPr>
            <w:tcW w:w="0" w:type="dxa"/>
            <w:vAlign w:val="bottom"/>
          </w:tcPr>
          <w:p>
            <w:pPr>
              <w:spacing w:after="0"/>
              <w:rPr>
                <w:sz w:val="1"/>
                <w:szCs w:val="1"/>
                <w:color w:val="auto"/>
              </w:rPr>
            </w:pPr>
          </w:p>
        </w:tc>
      </w:tr>
      <w:tr>
        <w:trPr>
          <w:trHeight w:val="208"/>
        </w:trPr>
        <w:tc>
          <w:tcPr>
            <w:tcW w:w="3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License fees and royalties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317 %</w:t>
            </w:r>
          </w:p>
        </w:tc>
        <w:tc>
          <w:tcPr>
            <w:tcW w:w="0" w:type="dxa"/>
            <w:vAlign w:val="bottom"/>
          </w:tcPr>
          <w:p>
            <w:pPr>
              <w:spacing w:after="0"/>
              <w:rPr>
                <w:sz w:val="1"/>
                <w:szCs w:val="1"/>
                <w:color w:val="auto"/>
              </w:rPr>
            </w:pPr>
          </w:p>
        </w:tc>
      </w:tr>
      <w:tr>
        <w:trPr>
          <w:trHeight w:val="210"/>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3"/>
        </w:trPr>
        <w:tc>
          <w:tcPr>
            <w:tcW w:w="3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 amortization - cost of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2,917</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4,811</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8,741</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14,429</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Cost of testing revenue increased $7.2 million, or 33%, for the three months ended September 30, 2024 compared to the same period in 2023. The increase in cost of testing revenue was due to increased volume in testing, higher staffing to support testing performance and the build out of infrastructure related to current and future growth expectations, primarily related to Decipher Prostate and Afirma tests.</w:t>
      </w:r>
    </w:p>
    <w:p>
      <w:pPr>
        <w:spacing w:after="0" w:line="202" w:lineRule="exact"/>
        <w:rPr>
          <w:sz w:val="20"/>
          <w:szCs w:val="20"/>
          <w:color w:val="auto"/>
        </w:rPr>
      </w:pPr>
    </w:p>
    <w:p>
      <w:pPr>
        <w:jc w:val="both"/>
        <w:ind w:right="20" w:firstLine="399"/>
        <w:spacing w:after="0" w:line="275" w:lineRule="auto"/>
        <w:rPr>
          <w:sz w:val="20"/>
          <w:szCs w:val="20"/>
          <w:color w:val="auto"/>
        </w:rPr>
      </w:pPr>
      <w:r>
        <w:rPr>
          <w:rFonts w:ascii="Times New Roman" w:cs="Times New Roman" w:eastAsia="Times New Roman" w:hAnsi="Times New Roman"/>
          <w:sz w:val="18"/>
          <w:szCs w:val="18"/>
          <w:color w:val="auto"/>
        </w:rPr>
        <w:t>Cost of testing revenue increased $18.1 million, or 28%, for the nine months ended September 30, 2024 compared to the same period in 2023. The increase in cost of testing revenue was due to increased volume in testing, higher staffing to support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testing performance and the build out of infrastructure related to current and future growth expectations, primarily related to Decipher Prostate and Afirma tests.</w:t>
      </w:r>
    </w:p>
    <w:p>
      <w:pPr>
        <w:spacing w:after="0" w:line="19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Cost of product revenue decreased $0.6 million, or 26%, for the three months ended September 30, 2024 and decreased $0.6 million, or 9%, for the nine months ended September 30, 2024 compared to the same periods in 2023, driven by lower volume of tests and a decrease in overhead related to manufacturing our IVD kits at our Marseille, France facilities.</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Cost of biopharmaceutical and other revenue includes labor costs, laboratory supplies and pass-through expenses incurred on these projects. Cost of biopharmaceutical and other revenue for the three and nine months ended September 30, 2024 decreased by $0.2 million and $2.0 million, respectively, compared to the same periods in 2023, driven by reductions of staffing and variable expenses related to projects.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and nine months ended September 30, 2024 and 2023 is as follows (in thousands of dollars, except percentages):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9"/>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9"/>
          </w:tcPr>
          <w:p>
            <w:pPr>
              <w:ind w:left="5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00" w:type="dxa"/>
            <w:vAlign w:val="bottom"/>
            <w:tcBorders>
              <w:bottom w:val="single" w:sz="8" w:color="auto"/>
            </w:tcBorders>
          </w:tcPr>
          <w:p>
            <w:pPr>
              <w:spacing w:after="0"/>
              <w:rPr>
                <w:sz w:val="18"/>
                <w:szCs w:val="18"/>
                <w:color w:val="auto"/>
              </w:rPr>
            </w:pPr>
          </w:p>
        </w:tc>
      </w:tr>
      <w:tr>
        <w:trPr>
          <w:trHeight w:val="207"/>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8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7"/>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10"/>
        </w:trPr>
        <w:tc>
          <w:tcPr>
            <w:tcW w:w="3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26,356</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20,979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15"/>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Direct research and development expense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r>
      <w:tr>
        <w:trPr>
          <w:trHeight w:val="210"/>
        </w:trPr>
        <w:tc>
          <w:tcPr>
            <w:tcW w:w="3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15"/>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0"/>
        </w:trPr>
        <w:tc>
          <w:tcPr>
            <w:tcW w:w="3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33 %</w:t>
            </w:r>
          </w:p>
        </w:tc>
      </w:tr>
      <w:tr>
        <w:trPr>
          <w:trHeight w:val="233"/>
        </w:trPr>
        <w:tc>
          <w:tcPr>
            <w:tcW w:w="3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38,632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r>
    </w:tbl>
    <w:p>
      <w:pPr>
        <w:spacing w:after="0" w:line="274"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increased $4.3 million, or 32%, for the three months ended September 30, 2024 compared to the same period in 2023. The increase was primarily driven by direct research and product development expense related to our on-going development costs for our IVD and MRD strategies, as well as projects to enhance laboratory efficiencies. In addition to these development costs, the increase is partially driven by clinical studies including, but not limited to, furthering the support and clinical utility evidence of our urology products, as well as our Percepta Nasal Swab test.</w:t>
      </w:r>
    </w:p>
    <w:p>
      <w:pPr>
        <w:spacing w:after="0" w:line="20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increased $11.4 million, or 29%, for the nine months ended September 30, 2024 compared to the same period in 2023. The increase was primarily driven by direct research and product development expense related to our on-going development costs for our IVD and MRD strategies, as well as projects to enhance laboratory efficiencies. In addition to these development costs, the increase is partially driven by clinical studies including, but not limited to, furthering the support and clinical utility evidence of our urology products, as well as our Percepta Nasal Swab test.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and nine months ended September 30, 2024 and 2023 is as follows (in thousands of dollars, except percentages):</w:t>
      </w:r>
    </w:p>
    <w:p>
      <w:pPr>
        <w:spacing w:after="0" w:line="354"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3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9"/>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9"/>
          </w:tcPr>
          <w:p>
            <w:pPr>
              <w:ind w:left="5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20" w:type="dxa"/>
            <w:vAlign w:val="bottom"/>
            <w:tcBorders>
              <w:bottom w:val="single" w:sz="8" w:color="auto"/>
            </w:tcBorders>
          </w:tcPr>
          <w:p>
            <w:pPr>
              <w:spacing w:after="0"/>
              <w:rPr>
                <w:sz w:val="18"/>
                <w:szCs w:val="18"/>
                <w:color w:val="auto"/>
              </w:rPr>
            </w:pPr>
          </w:p>
        </w:tc>
      </w:tr>
      <w:tr>
        <w:trPr>
          <w:trHeight w:val="207"/>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2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2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7"/>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marketing expense:</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10"/>
        </w:trPr>
        <w:tc>
          <w:tcPr>
            <w:tcW w:w="3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15,814</w:t>
            </w:r>
          </w:p>
        </w:tc>
        <w:tc>
          <w:tcPr>
            <w:tcW w:w="12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50,517</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56,728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5"/>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Direct marketing 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10"/>
        </w:trPr>
        <w:tc>
          <w:tcPr>
            <w:tcW w:w="3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08"/>
        </w:trPr>
        <w:tc>
          <w:tcPr>
            <w:tcW w:w="3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22,612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24,344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70,610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76,230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Selling and marketing expense decreased $1.7 million, or 7%, for the three months ended September 30, 2024 compared to the same period in 2023. The decrease in compensation expense was primarily due to the reduction in sales support for our Envisia product and reduced variable compensation. Direct marketing expense increased primarily due to increases in trade shows and market research.</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Selling and marketing expense decreased $5.6 million, or 7%, for the nine months ended September 30, 2024 compared to the same period in 2023. The decrease in compensation and other expense was primarily due to the decision to reduce the sales support for our Envisia product and a reversal of the stock-based compensation related to employee exits. Direct marketing expense increased primarily due to increased trade show events.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and nine months ended September 30, 2024 and 2023 is as follows (in thousands of dollars, except percentages):</w:t>
      </w:r>
    </w:p>
    <w:p>
      <w:pPr>
        <w:spacing w:after="0" w:line="354"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3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9"/>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9"/>
          </w:tcPr>
          <w:p>
            <w:pPr>
              <w:ind w:left="5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20" w:type="dxa"/>
            <w:vAlign w:val="bottom"/>
            <w:tcBorders>
              <w:bottom w:val="single" w:sz="8" w:color="auto"/>
            </w:tcBorders>
          </w:tcPr>
          <w:p>
            <w:pPr>
              <w:spacing w:after="0"/>
              <w:rPr>
                <w:sz w:val="18"/>
                <w:szCs w:val="18"/>
                <w:color w:val="auto"/>
              </w:rPr>
            </w:pPr>
          </w:p>
        </w:tc>
      </w:tr>
      <w:tr>
        <w:trPr>
          <w:trHeight w:val="207"/>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2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2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7"/>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10"/>
        </w:trPr>
        <w:tc>
          <w:tcPr>
            <w:tcW w:w="3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18,958</w:t>
            </w:r>
          </w:p>
        </w:tc>
        <w:tc>
          <w:tcPr>
            <w:tcW w:w="12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59,824</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49,354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15"/>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Occupancy expenses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10"/>
        </w:trPr>
        <w:tc>
          <w:tcPr>
            <w:tcW w:w="3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15"/>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r>
      <w:tr>
        <w:trPr>
          <w:trHeight w:val="210"/>
        </w:trPr>
        <w:tc>
          <w:tcPr>
            <w:tcW w:w="3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(21,175)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(15,258)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39 %</w:t>
            </w:r>
          </w:p>
        </w:tc>
      </w:tr>
      <w:tr>
        <w:trPr>
          <w:trHeight w:val="233"/>
        </w:trPr>
        <w:tc>
          <w:tcPr>
            <w:tcW w:w="3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83,697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62,434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r>
    </w:tbl>
    <w:p>
      <w:pPr>
        <w:spacing w:after="0" w:line="274"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General and administrative expense increased by $9.4 million for the three months ended September 30, 2024, compared to the same period in 2023. Compensation expense for the three months ended September 30, 2024 compared to the same period in 2023 increased primarily due to increased wages and headcount from infrastructure investments. Occupancy expenses increased primarily due to our expansion of our facilities footprint to support overall volume growth, and other expenses increased $7.4 million primarily in relation to a $5.2 million reversal of contingent consideration expense recorded in the three months ended September 30, 2023, along with an increase in infrastructure costs. General and administrative expenses related to occupancy costs and information technology costs are allocated to general and administrative expense, selling and marketing expense, research and development expense, and cost of revenue based on the headcount and employee location.</w:t>
      </w:r>
    </w:p>
    <w:p>
      <w:pPr>
        <w:spacing w:after="0" w:line="213"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 increased by $21.3 million for the nine months ended September 30, 2024, compared to the same period in 2023. Compensation expense for the nine months ended September 30, 2024 compared to the same period in 2023 increased primarily due to expenses related to restructuring costs associated with the mutually consented termination plan at our Marseille location, annual compensation increases and expenses related to the C2i Acquisition. Occupancy expenses increased primarily due to our expansion of our San Diego facilities footprint to support Decipher Prostate growth, and other expenses increased $14.4 million primarily in relation to expenses related to the C2i Acquisition, infrastructure build out and due to a $5.5 million reversal of contingent consideration expense recorded in the three months ended September 30, 2023. General and administrative expenses related to occupancy costs and information technology costs are allocated to general and administrative expense, selling and marketing expense, research and development expense, and cost of revenue based on the headcount and employee location.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4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2024 impairment of long-lived assets was $0.2 million and $0.6 million, respectively, in relation to exiting our Watertown facility. Impairment of long-lived assets during the three and nine months ended September 30, 2023 was $34.9 million and $36.3 million, respectively, of impairment charge associated with the nCounter Dx license finite-lived intangible asset and impairment of right-of-use and fixed assets in relation to exiting our Richmond facility.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Other income (loss), net, increased $2.9 million for the three months ended September 30, 2024 compared to the same period in 2023, primarily due to an increase of $2.3 million due to unrealized foreign currency gain and an increase of $0.8 million from interest income.</w:t>
      </w:r>
    </w:p>
    <w:p>
      <w:pPr>
        <w:spacing w:after="0" w:line="19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Other income (loss), net, increased $6.2 million for the nine months ended September 30, 2024 compared to the same period in 2023, primarily due to an increase of $3.8 million from interest income, an increase of $1.3 million related to the French research tax credit, and an increase of $1.4 million due to unrealized foreign currency loss.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recorded income tax expense of $1.7 million and $3.3 million for the three and nine months ended September 30, 2024, respectively, and recorded income tax benefit of $0.2 million and $29.0 thousand for the three and nine months ended September 30, 2023, respectively.</w:t>
      </w:r>
    </w:p>
    <w:p>
      <w:pPr>
        <w:spacing w:after="0" w:line="19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Given our current earnings, we believe that, within the next two years, sufficient positive evidence may become available to allow us to reach a conclusion that a portion of the valuation allowance recorded against the deferred tax assets held may be reversed. A reversal would result in an income tax benefit for the quarterly and annual period in which we determine to release the valuation allowance. However, the exact timing and amount of a valuation allowance release are subject to change on the basis of the level of profitability that we actually achieve.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As of September 30, 2024, we had cash and cash equivalents of $274.1 million. During the nine months ended September 30, 2024, our cash and cash equivalents increased by $57.6 million. Historically, we have been financed primarily through net proceeds from the sale of our equity securities. Beginning in 2023, our operations have been financed primarily by cash flows generated by our revenue. For the nine months ended September 30, 2024, we had net income of $19.0 million, but we may not sustain profitability for the remainder of 2024 and in future years. As of September 30, 2024, we had an accumulated deficit of $449.1 million.</w:t>
      </w:r>
    </w:p>
    <w:p>
      <w:pPr>
        <w:spacing w:after="0" w:line="212" w:lineRule="exact"/>
        <w:rPr>
          <w:sz w:val="20"/>
          <w:szCs w:val="20"/>
          <w:color w:val="auto"/>
        </w:rPr>
      </w:pPr>
    </w:p>
    <w:p>
      <w:pPr>
        <w:jc w:val="both"/>
        <w:ind w:firstLine="399"/>
        <w:spacing w:after="0" w:line="263" w:lineRule="auto"/>
        <w:rPr>
          <w:sz w:val="20"/>
          <w:szCs w:val="20"/>
          <w:color w:val="auto"/>
        </w:rPr>
      </w:pPr>
      <w:r>
        <w:rPr>
          <w:rFonts w:ascii="Times New Roman" w:cs="Times New Roman" w:eastAsia="Times New Roman" w:hAnsi="Times New Roman"/>
          <w:sz w:val="17"/>
          <w:szCs w:val="17"/>
          <w:color w:val="auto"/>
        </w:rPr>
        <w:t>We believe our existing cash and cash equivalents as of September 30, 2024, and cash flows generated by our revenue during the next 12 months will be sufficient to meet our anticipated cash requirements for at least the next 12 months from the filing date of this report. We expect that our near- and longer-term liquidity requirements will continue to consist of costs to run our laboratories, research and development expenses, selling and marketing expenses, general and administrative expenses, working capital, capital expenditures, lease obligations, potential milestones associated with the C2i Acquisition, costs to fund our overseas operations, and general corporate expenses associated with the growth of our business. However, we may also use cash to acquire or invest in complementary businesses, technologies, services or products that would change our cash requirements. If we are not able to generate cash flows from our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restrictions on our cash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 Moreover, any instability in the global banking system may impact liquidity both in the short term and long term and may result in adverse impacts to our or our customers’ business, including in our customers’ ability to pay for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lease office and laboratory facilities in South San Francisco and San Diego, California; Austin, Texas; Marseille, France; Richmond, Virginia; and Watertown, Massachusetts, and lease certain equipment under various non-cancelable lease agreements. The lease terms extend to May 2036 and contain extension of lease term and expansion options. As of September 30, 2024, the leases have a weighted average remaining lease term of 6.6 years and total future minimum lease payments of $27.5 million.</w:t>
      </w:r>
    </w:p>
    <w:p>
      <w:pPr>
        <w:spacing w:after="0" w:line="20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Veracyte SAS entered into a lease agreement for a newly constructed facility in Marseille, France. The lease commenced during the nine months ended September 30, 2024 and we recorded a lease liability and a corresponding ROU asset of $8.0 million. The initial term of the lease is twelve years with annual rent of approximately $1.3 million, excluding common area maintenance costs.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Contingent Consideration</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C2i Acquisition Contingent Consideration</w:t>
      </w:r>
    </w:p>
    <w:p>
      <w:pPr>
        <w:spacing w:after="0" w:line="24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we may pay up to an additional $25.0 million in cash or shares of our common stock, at our election, contingent upon the achievement of certain milestones. As of September 30, 2024, the achievement of one of the milestones contained in the Merger Agreement is forecasted to occur within the next 12 months, requiring payments totaling $5.0 million.</w:t>
      </w:r>
    </w:p>
    <w:p>
      <w:pPr>
        <w:spacing w:after="0" w:line="2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nCounter Analysis System Acquisition Contingent Consideration</w:t>
      </w:r>
    </w:p>
    <w:p>
      <w:pPr>
        <w:spacing w:after="0" w:line="24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As part of our agreement to acquire the exclusive global diagnostic license to the nCounter Analysis System, we may pay up to an additional $10.0 million in cash, contingent upon first achievement or occurrence, by us or on our behalf, of the commercial launch of the first, second and third diagnostic tests for use on the nCounter multiplex analysis system. As of September 30, 2024, the achievement of one of the milestones is forecasted to occur within the next 12 months, requiring payments totaling $3.5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2024 and 2023 (in thousands of dollars):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32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20" w:type="dxa"/>
            <w:vAlign w:val="bottom"/>
            <w:tcBorders>
              <w:bottom w:val="single" w:sz="8" w:color="auto"/>
            </w:tcBorders>
          </w:tcPr>
          <w:p>
            <w:pPr>
              <w:spacing w:after="0"/>
              <w:rPr>
                <w:sz w:val="18"/>
                <w:szCs w:val="18"/>
                <w:color w:val="auto"/>
              </w:rPr>
            </w:pPr>
          </w:p>
        </w:tc>
      </w:tr>
      <w:tr>
        <w:trPr>
          <w:trHeight w:val="207"/>
        </w:trPr>
        <w:tc>
          <w:tcPr>
            <w:tcW w:w="73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r>
      <w:tr>
        <w:trPr>
          <w:trHeight w:val="207"/>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20" w:type="dxa"/>
            <w:vAlign w:val="bottom"/>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50,572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28,670</w:t>
            </w: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17,609</w:t>
            </w: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47"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Cash provided by operating activities for the nine months ended September 30, 2024 was $50.6 million. Our net income of $19.0 million includes non-cash charges of $26.6 million of stock-based compensation expense, $17.2 million of depreciation and amortization, of which $11.2 million was related to intangible asset amortization, and the remainder was due to a non-cash lease expense of $3.6 million. Cash used as a result of changes in operating assets and liabilities was $17.1 million, primarily composed of an increase in accounts receivable of $8.4 million, an increase in supplies and inventory of $4.2 million, a decrease in operating lease liability of $3.9 million, a decrease in accounts payable of $3.0 million, and an increase in other assets of $1.7 million, partially offset by a decrease in accrued liabilities and deferred revenue of $3.9 million.</w:t>
      </w:r>
    </w:p>
    <w:p>
      <w:pPr>
        <w:spacing w:after="0" w:line="185"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Cash provided by operating activities for the nine months ended September 30, 2023 was $28.7 million. Our net loss of $46.1 million includes non-cash charges of $25.6 million of stock-based compensation expense, $20.9 million of depreciation and amortization, of which $16.0 million was related to intangible asset amortization, $36.3 million tied to the impairment of long-lived assets, $5.5 million from the revaluation of contingent consideration and the remainder was due to a non-cash lease expense of $3.1 million. Cash used as a result of changes in operating assets and liabilities was $5.6 million, primarily composed of a decrease in accrued liabilities and deferred revenue of $3.4 million, a decrease in operating lease liability of</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$3.2 million, an increase in supplies and inventory of $1.6 million, an increase in prepaids and other current assets of $1.6 million, and an increase in other assets of $0.6 million. These amounts were partially offset by a decrease in accounts receivable of $4.7 million, and an increase in accounts payable of $0.2 million.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2024 was $2.1 million, consisting of $7.1 million used in the purchase of property, plant and equipment, partially offset by $5.0 million net cash acquired from C2i excluding post-close transactions costs.</w:t>
      </w:r>
    </w:p>
    <w:p>
      <w:pPr>
        <w:spacing w:after="0" w:line="19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Cash provided by investing activities for the nine months ended September 30, 2023 was $17.6 million, consisting of $44.8 million generated from the sale and maturity of short-term investments, partially offset by $19.7 million used in the purchase of short-term investments and $7.5 million used in the purchase of property, plant and equipment.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4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for the nine months ended September 30, 2024 was $9.4 million, consisting of $16.7 million in proceeds from the exercise of options to purchase our common stock and the purchase of stock under our Employee Stock Purchase Plan, or ESPP, partially offset by $7.3 million in tax payments during the period related to the vesting of restricted stock units granted to employees.</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for the nine months ended September 30, 2023 was $2.2 million, consisting of $7.8 million in proceeds from the exercise of options to purchase our common stock and the purchase of stock under our ESPP, partially offset by $5.6 million in tax payments during the period related to the vesting of restricted stock units granted to employees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8"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ASU No. 2023-09, </w:t>
      </w:r>
      <w:r>
        <w:rPr>
          <w:rFonts w:ascii="Times New Roman" w:cs="Times New Roman" w:eastAsia="Times New Roman" w:hAnsi="Times New Roman"/>
          <w:sz w:val="18"/>
          <w:szCs w:val="18"/>
          <w:i w:val="1"/>
          <w:iCs w:val="1"/>
          <w:color w:val="auto"/>
        </w:rPr>
        <w:t>Improvements to Income Tax Disclosures (Topic 740)</w:t>
      </w:r>
      <w:r>
        <w:rPr>
          <w:rFonts w:ascii="Times New Roman" w:cs="Times New Roman" w:eastAsia="Times New Roman" w:hAnsi="Times New Roman"/>
          <w:sz w:val="18"/>
          <w:szCs w:val="18"/>
          <w:color w:val="auto"/>
        </w:rPr>
        <w:t>. The update requires disaggregated information about a reporting entity’s effective tax rate reconciliation as well as additional information on income taxes paid. This ASU is effective on a prospective basis for annual periods beginning after December 15, 2024. Early adoption is also permitted for annual financial statements that have not yet been issued or made available for issuance. We expect this ASU will result in the required additional disclosures being included in our consolidated financial statements, once adopted.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7"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financial statements, which have been prepared in accordance with GAAP. The preparation of the condensed consolidated financial statements requires us to make estimates and assumptions that affect the reported amounts of assets and liabilities and the disclosure of contingent liabilities at the date of the condensed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in our Annual Report on Form 10-K for the year ended December 31, 2023, or Annual Report, which was filed with the Securities and Exchange Commission, or the SEC, on February 29, 2024 are critical to understanding our historical and future performance, as these policies relate to the more significant areas involving management's judgments and estimates. There have been no material changes to our critical accounting policies and estimates as compared to the critical accounting policies and estimates disclosed in our Annual Report.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rates. We had cash and cash equivalents of $274.1 million as of September 30, 2024 which consisted of bank deposits and money market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funds. Such interest-bearing instruments carry a degree of risk; however, a hypothetical 10% change in interest rates during any of the periods presented would not have had a material impact on our condensed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4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As of September 30, 2024 we held $2.4 million of bank deposits denominated in Euros. Such Euro denominated deposits carry a degree of risk from changes in currency exchange rates as the gains or losses from changes in exchange rates are included in our net income (loss) and comprehensive income (loss). As of September 30, 2024 a hypothetical 10% appreciation or depreciation of the U.S. dollar relative to the Euro would not have had a material impact on our condensed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are facing inflation headwinds in compensation, travel, supply and inventory costs. However, we do not believe that inflation has had a material effect on our business, financial condition, or operating results to date.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47" w:lineRule="exact"/>
        <w:rPr>
          <w:sz w:val="20"/>
          <w:szCs w:val="20"/>
          <w:color w:val="auto"/>
        </w:rPr>
      </w:pPr>
    </w:p>
    <w:p>
      <w:pPr>
        <w:jc w:val="both"/>
        <w:ind w:firstLine="399"/>
        <w:spacing w:after="0" w:line="266" w:lineRule="auto"/>
        <w:rPr>
          <w:sz w:val="20"/>
          <w:szCs w:val="20"/>
          <w:color w:val="auto"/>
        </w:rPr>
      </w:pPr>
      <w:r>
        <w:rPr>
          <w:rFonts w:ascii="Times New Roman" w:cs="Times New Roman" w:eastAsia="Times New Roman" w:hAnsi="Times New Roman"/>
          <w:sz w:val="17"/>
          <w:szCs w:val="17"/>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20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4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continuously seek to improve the efficiency and effectiveness of our internal controls. This results in refinements to processes throughout our Company. On February 5, 2024, we closed the C2i Acquisition and we are in the process of incorporating C2i into our evaluation of internal control over financial reporting. Other than the C2i Acquisition there were no changes in our internal control over financial reporting (as such term is defined in Rule 13a-15(f) under the Exchange Act) identified in connection with the evaluation identified above that occurred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34"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review the “Risk Factors” section before you invest in shares of our common stock. Listed below are some of the more significant risks relating to an investment in our common stock.</w:t>
      </w:r>
    </w:p>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Risks Related to Our Business</w:t>
      </w:r>
    </w:p>
    <w:p>
      <w:pPr>
        <w:spacing w:after="0" w:line="287" w:lineRule="exact"/>
        <w:rPr>
          <w:sz w:val="20"/>
          <w:szCs w:val="20"/>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have a history of losses, we could incur net losses in the future, and we may not sustain our level of profitability in the future.</w:t>
      </w:r>
    </w:p>
    <w:p>
      <w:pPr>
        <w:spacing w:after="0" w:line="58" w:lineRule="exact"/>
        <w:rPr>
          <w:rFonts w:ascii="Times New Roman" w:cs="Times New Roman" w:eastAsia="Times New Roman" w:hAnsi="Times New Roman"/>
          <w:sz w:val="18"/>
          <w:szCs w:val="18"/>
          <w:color w:val="231F20"/>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financial results currently depend mainly on sales of our Decipher Prostate and Afirma tests, and we will need to generate sufficient revenue from these and our other diagnostic tests to grow our business.</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are unable to grow sales of our portfolio of tests or products, or we are unable to launch or commercialize our new tests or products, our business may suffer.</w:t>
      </w:r>
    </w:p>
    <w:p>
      <w:pPr>
        <w:spacing w:after="0" w:line="4" w:lineRule="exact"/>
        <w:rPr>
          <w:rFonts w:ascii="Times New Roman" w:cs="Times New Roman" w:eastAsia="Times New Roman" w:hAnsi="Times New Roman"/>
          <w:sz w:val="18"/>
          <w:szCs w:val="18"/>
          <w:color w:val="231F20"/>
        </w:rPr>
      </w:pPr>
    </w:p>
    <w:p>
      <w:pPr>
        <w:ind w:left="640" w:right="20" w:hanging="315"/>
        <w:spacing w:after="0" w:line="275" w:lineRule="auto"/>
        <w:tabs>
          <w:tab w:leader="none" w:pos="63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depend on a few payers for a significant portion of our revenue; if one or more significant payers stops providing reimbursement or decreases the amount of reimbursement for our tests our revenue could decline.</w:t>
      </w:r>
    </w:p>
    <w:p>
      <w:pPr>
        <w:spacing w:after="0" w:line="4" w:lineRule="exact"/>
        <w:rPr>
          <w:rFonts w:ascii="Times New Roman" w:cs="Times New Roman" w:eastAsia="Times New Roman" w:hAnsi="Times New Roman"/>
          <w:sz w:val="18"/>
          <w:szCs w:val="18"/>
          <w:color w:val="231F20"/>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4" w:lineRule="exact"/>
        <w:rPr>
          <w:rFonts w:ascii="Times New Roman" w:cs="Times New Roman" w:eastAsia="Times New Roman" w:hAnsi="Times New Roman"/>
          <w:sz w:val="18"/>
          <w:szCs w:val="18"/>
          <w:color w:val="231F20"/>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experience limits on our revenue if physicians decide not to order our tests or if patients decide not to use our tests as a result of increased costs, fees or changing insurer policies.</w:t>
      </w:r>
    </w:p>
    <w:p>
      <w:pPr>
        <w:spacing w:after="0" w:line="4" w:lineRule="exact"/>
        <w:rPr>
          <w:rFonts w:ascii="Times New Roman" w:cs="Times New Roman" w:eastAsia="Times New Roman" w:hAnsi="Times New Roman"/>
          <w:sz w:val="18"/>
          <w:szCs w:val="18"/>
          <w:color w:val="231F20"/>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fail to comply with federal, state and foreign licensing requirements, we could lose the ability to perform our tests or experience disruptions to our business.</w:t>
      </w:r>
    </w:p>
    <w:p>
      <w:pPr>
        <w:spacing w:after="0" w:line="4" w:lineRule="exact"/>
        <w:rPr>
          <w:rFonts w:ascii="Times New Roman" w:cs="Times New Roman" w:eastAsia="Times New Roman" w:hAnsi="Times New Roman"/>
          <w:sz w:val="18"/>
          <w:szCs w:val="18"/>
          <w:color w:val="231F20"/>
        </w:rPr>
      </w:pPr>
    </w:p>
    <w:p>
      <w:pPr>
        <w:jc w:val="both"/>
        <w:ind w:left="640" w:hanging="315"/>
        <w:spacing w:after="0" w:line="261" w:lineRule="auto"/>
        <w:tabs>
          <w:tab w:leader="none" w:pos="63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quarterly operating results may fluctuate significantly or may fall below the expectations of investors or securities analysts for various reasons, including in response to the way we recognize revenue, our level of profitability and/or the amount of cash we generate, which may cause our stock price to fluctuate or decline.</w:t>
      </w:r>
    </w:p>
    <w:p>
      <w:pPr>
        <w:spacing w:after="0" w:line="16" w:lineRule="exact"/>
        <w:rPr>
          <w:rFonts w:ascii="Times New Roman" w:cs="Times New Roman" w:eastAsia="Times New Roman" w:hAnsi="Times New Roman"/>
          <w:sz w:val="18"/>
          <w:szCs w:val="18"/>
          <w:color w:val="231F20"/>
        </w:rPr>
      </w:pPr>
    </w:p>
    <w:p>
      <w:pPr>
        <w:ind w:left="640" w:right="20" w:hanging="315"/>
        <w:spacing w:after="0" w:line="27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If our general strategy of seeking growth through acquisitions and collaborations is not successful, or if we do not successfully integrate </w:t>
      </w:r>
      <w:r>
        <w:rPr>
          <w:rFonts w:ascii="Times New Roman" w:cs="Times New Roman" w:eastAsia="Times New Roman" w:hAnsi="Times New Roman"/>
          <w:sz w:val="18"/>
          <w:szCs w:val="18"/>
          <w:color w:val="000000"/>
        </w:rPr>
        <w:t>companies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or assets that we acquire into our business, our prospects and financial condition will suffer.</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and international growth depend, in part, on our ability to adapt, manufacture and distribute our tests as IVD tests.</w:t>
      </w:r>
    </w:p>
    <w:p>
      <w:pPr>
        <w:spacing w:after="0" w:line="58"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rely on sole suppliers for some of the reagents, equipment, and other materials used to perform or develop our tests, as well as certain sole source providers for kit components, instruments and associated services. We may not be able to find replacements or transition to alternative suppliers or service providers, which may materially impact our ability to generate revenue.</w:t>
      </w:r>
    </w:p>
    <w:p>
      <w:pPr>
        <w:spacing w:after="0" w:line="16"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be unable to manage our future growth effectively, which could make it difficult to execute our business strategy.</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If we are unable to support demand for our tests, products or services, our business could suffer.</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Changes in healthcare p</w:t>
      </w:r>
      <w:r>
        <w:rPr>
          <w:rFonts w:ascii="Times New Roman" w:cs="Times New Roman" w:eastAsia="Times New Roman" w:hAnsi="Times New Roman"/>
          <w:sz w:val="18"/>
          <w:szCs w:val="18"/>
          <w:color w:val="000000"/>
        </w:rPr>
        <w:t>olicy, including legislation reforming the U.S. healthcare system, recent U.S. Supreme Court judicial decisions and potential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changes in the regulatory environment, may have a material adverse effect on our financial condition and operations.</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Because of Medicare billing rules, we may not receive reimbursement for all tests provided to Medicare patients.</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foreign authorities regulation of those of our tests that they do not currently regulate could result in Veracyte incurring substantial costs and delays associated with trying to obtain premarket clearance, approval or certification.</w:t>
      </w:r>
    </w:p>
    <w:p>
      <w:pPr>
        <w:spacing w:after="0" w:line="4" w:lineRule="exact"/>
        <w:rPr>
          <w:rFonts w:ascii="Times New Roman" w:cs="Times New Roman" w:eastAsia="Times New Roman" w:hAnsi="Times New Roman"/>
          <w:sz w:val="18"/>
          <w:szCs w:val="18"/>
          <w:color w:val="auto"/>
        </w:rPr>
      </w:pPr>
    </w:p>
    <w:p>
      <w:pPr>
        <w:ind w:left="640" w:right="20" w:hanging="315"/>
        <w:spacing w:after="0" w:line="27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marketing authorization or certification by the FDA and foreign regulatory authorities or notified regulatory bodies for our diagnostic tests will take significant time and require significant research, development and clinical study expenditures and ultimately may not succeed.</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compete successfully, we may be unable to increase or sustain our revenue and profitability.</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team, and the loss of one or more of our executive officers, or the inability to attract and retain highly-skilled employees or other key personnel, could adversely affect our business.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hanging="315"/>
        <w:spacing w:after="0" w:line="27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Billing for our diagnostic tests is complex, and we must dedicate substantial time and resources to the billing process in order to collect cash and be paid.</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internal sales force is less successful than anticipated, our business expansion plans could suffer and our ability to generate revenue could be diminished.</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products involves a lengthy and complex process, and if we do not achieve our projected development and commercialization goals in the timeframes we announce and expect, our business will suffer and our stock price may decline.</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must successfully integrate acquired businesses to realize the financial goals that we currently ant</w:t>
      </w:r>
      <w:r>
        <w:rPr>
          <w:rFonts w:ascii="Times New Roman" w:cs="Times New Roman" w:eastAsia="Times New Roman" w:hAnsi="Times New Roman"/>
          <w:sz w:val="18"/>
          <w:szCs w:val="18"/>
          <w:color w:val="000000"/>
        </w:rPr>
        <w:t>icipate.</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Aspects of our international business expose us to business, personnel, regulatory, political, operational, financial, and economic risks associated with doing business outside of the United States.</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be adversely affected by unfavorable macroeconomic and market conditions.</w:t>
      </w:r>
    </w:p>
    <w:p>
      <w:pPr>
        <w:spacing w:after="0" w:line="58"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spacing w:after="0" w:line="16"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or successfully defend our intellectual property effectively, our business may be harmed.</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litigation related to intellectual property, which may be time-intensive and costly and may adversely affect our business, operating results or financial condition.</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Risks Related to Being a Public Compa</w:t>
      </w:r>
      <w:r>
        <w:rPr>
          <w:rFonts w:ascii="Times New Roman" w:cs="Times New Roman" w:eastAsia="Times New Roman" w:hAnsi="Times New Roman"/>
          <w:sz w:val="18"/>
          <w:szCs w:val="18"/>
          <w:color w:val="auto"/>
        </w:rPr>
        <w:t>ny</w:t>
      </w:r>
    </w:p>
    <w:p>
      <w:pPr>
        <w:spacing w:after="0" w:line="287" w:lineRule="exact"/>
        <w:rPr>
          <w:sz w:val="20"/>
          <w:szCs w:val="20"/>
          <w:color w:val="auto"/>
        </w:rPr>
      </w:pPr>
    </w:p>
    <w:p>
      <w:pPr>
        <w:ind w:left="640" w:hanging="315"/>
        <w:spacing w:after="0" w:line="275" w:lineRule="auto"/>
        <w:tabs>
          <w:tab w:leader="none" w:pos="635"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Risks Related to Our Common Stock</w:t>
      </w:r>
    </w:p>
    <w:p>
      <w:pPr>
        <w:spacing w:after="0" w:line="300" w:lineRule="exact"/>
        <w:rPr>
          <w:sz w:val="20"/>
          <w:szCs w:val="20"/>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stock price may be volatile, and you may not be able to sell shares of our common stock at or above the price you paid.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we could incur net losses in the future and we may not sustain our level of profitability in the future.</w:t>
      </w:r>
    </w:p>
    <w:p>
      <w:pPr>
        <w:spacing w:after="0" w:line="249"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For the nine months ended September 30, 2024 and 2023, we had net income of $19 million and net loss of $46 million, respectively. As of September 30, 2024, we had an accumulated deficit of $449 million. Although we recorded net income in the nine months ended September 30, 2024, we could incur losses in the future. Ongoing widespread inflationary pressures in the United States and across global economies have resulted in higher costs for our raw materials, non-material costs, labor and other business costs, and significant increases in the future could adversely affect our results of operations. We may not achieve profitability in a reporting period or, if we do so, we may not sustain such levels of profitability, and our failure to do so in the future could cause the market price of our common stock to decline.</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addition, our ability to sustain profitability depends on a number of factors, including but not limited to:</w:t>
      </w:r>
    </w:p>
    <w:p>
      <w:pPr>
        <w:spacing w:after="0" w:line="245" w:lineRule="exact"/>
        <w:rPr>
          <w:sz w:val="20"/>
          <w:szCs w:val="20"/>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sufficient revenue from our existing diagnostic tests;</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publishing evidence that our tests are informing clinical decisions and receiving positive coverage decisions by payers;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new tests and products;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effective relationships with our payers; and</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regulatory approval for our tests and products.</w:t>
      </w:r>
    </w:p>
    <w:p>
      <w:pPr>
        <w:spacing w:after="0" w:line="2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Even if we do sustain profitability, we may be unable to achieve positive cash flows from operations in the future.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currently depend mainly on sales of our Decipher Prostate and Afirma tests, and we will need to generate sufficient revenue from these and our other diagnostic tests to grow our business.</w:t>
      </w:r>
    </w:p>
    <w:p>
      <w:pPr>
        <w:spacing w:after="0" w:line="186"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Most of our revenue to date has been derived from sales of our Decipher Prostate and Afirma tests, which are used in the diagnosis of urological and thyroid cancers. Over the next few years, we expect to continue to derive a substantial portion of our revenue from sales of our Decipher Prostate and Afirma tests. Regarding our more nascently adopted tests, once they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and maintain positive coverage decisions and therefore, we may never realize revenue from tests we commercialize. In addition, we are in various stages of research and development for other diagnostic tests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our Decipher Prostate and Afirma tests, or develop and commercialize other tests, our revenue and our ability to sustain profitability would be impaired, and the market price of our common stock could decline.</w:t>
      </w:r>
    </w:p>
    <w:p>
      <w:pPr>
        <w:spacing w:after="0" w:line="213"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grow sales of our portfolio of tests or products, or we are unable to launch or commercialize our new tests or products, our business may suffer.</w:t>
      </w:r>
    </w:p>
    <w:p>
      <w:pPr>
        <w:spacing w:after="0" w:line="186"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Although a number of our tests, such as Prosigna and Decipher Bladder, have not contributed significant revenue to date, we expect them to grow and become an increasingly important component of our portfolio, as well as our results of operations. We plan to introduce new tests going forward as well, including in MRD as a result of the C2i Acquisition, as well as our Percepta Nasal Swab. There can be no assurance that we will be successful in our launch or commercialization of new tests, nor that physicians will request our new tests be performed in sufficient volumes for our revenue to meet our projections. Additionally, we anticipate expanding the reach of some of our tests to international markets; if our products are not widely adopted internationally, our business and results of operations may be adversely affected.</w:t>
      </w:r>
    </w:p>
    <w:p>
      <w:pPr>
        <w:spacing w:after="0" w:line="208"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depend on a few payers for a significant portion of our revenue; if one or more significant payers stops providing reimbursement or decreases the amount of reimbursement for our tests, our revenue could decline.</w:t>
      </w:r>
    </w:p>
    <w:p>
      <w:pPr>
        <w:spacing w:after="0" w:line="186"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Federal Medicare funding and state budgets are limited and have been placed under tremendous strain in recent years, which is likely to be further exacerbated as a result of macroeconomic uncertainty. Such budgetary pressures may force Medicare, Medicare Advantage or state agencies to reduce payment rates or change coverage policies. If there is a decrease in Medicare or other payers’ payment rates for our tests, our revenue from Medicare and such payers will decrease and the payment rates for some of our commercial payers may also decrease if they tie their allowable rates to the Medicare rates. These changes could have an adverse effect on our business, financial condition and results of operations.</w:t>
      </w:r>
    </w:p>
    <w:p>
      <w:pPr>
        <w:spacing w:after="0" w:line="21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Revenue for tests performed on patients covered by Medicare and UnitedHealthcare Group was 31% and 14%, respectively, of our revenue for the nine months ended September 30, 2024, compared with 32% and 11%, respectively, for the nine months ended September 30, 2023. The percentage of our revenue derived from significant payers is expected to fluctuate from period to period as our revenue fluctuates, as additional payers provide reimbursement for our tests or if one or more payers were to stop reimbursing for our tests or change their reimbursed amounts.</w:t>
      </w:r>
    </w:p>
    <w:p>
      <w:pPr>
        <w:spacing w:after="0" w:line="207"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Effective January 2012, Palmetto GBA, the regional Medicare Administrative Contractor, or MAC, that handled claims processing for Medicare services over our jurisdiction at that time, issued coverage and payment determinations for our Afirma Classifier now covered by Noridian Healthcare Solutions, the current MAC for our jurisdiction, through the MolDX program, administered by Palmetto GBA, under a Local Coverage Determination, or LCD. On July 28, 2024, a new LCD through the MolDX program, “Molecular Testing for Risk Stratification of Thyroid Nodules,” takes effect which provides expanded Medicare coverage for Afirma. Modifications to the current Medicare coverage of the Afirma classifier could have an adverse effect on our business, financial condition and results of operations.</w:t>
      </w:r>
    </w:p>
    <w:p>
      <w:pPr>
        <w:spacing w:after="0" w:line="21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On March 1, 2015, CPT code 81545 for the Afirma GEC was issued. On January 1, 2018, the Medicare Clinical Laboratory Fee Schedule payment rate for the Afirma classifier increased from $3,220 to $3,600. This rate is based on the volume-weighted median of private payer payment rates made between January 1 and June 30, 2016, which we reported to the Centers for Medicare &amp; Medicaid Services in 2017 as required under the Protecting Access to Medicare Act of 2014, or PAMA. In December 2019, through the Further Consolidated Appropriations Act of 2020, Congress delayed the next data reporting period from 2020 to 2021 for final payments made between January 1 and June 30, 2019, extending the applicability of the payment rates based on 2017 reporting by one year through December 31, 2021. In March 2020, through the CARES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Act, Congress further delayed the next reporting period to 2022 for final payments made between January 1 and June 30, 2019, extending the applicability for the payment rates based on 2017 reporting through December 31, 2022. In December 2021, through the Protecting Medicare and American Farmers from Sequester Cuts Act, Congress further delayed the next reporting period to 2023. In December 2022, through the Consolidated Appropriations Act of 2023, Congress further delayed the next reporting period to 2024. In November 2023, through the Further Continuing Appropriations and Other Extensions Act of 2024, Congress further delayed the next reporting period to 2025. In September 2024, through the Continuing Appropriations and Extensions Act of 2025, Congress again delayed the next reporting period to 2026. The applicability of the current payment rates based on 2017 reporting thus now extend through December 31, 2025. As a result of the transition from Afirma GEC to Afirma GSC, a new CPT Category I code (81546) was established for the Afirma classifier, effective January 1, 2021. This code went through the national payment determination process for Medicare in 2020, through which the Centers for Medicare &amp; Medicaid Services, or CMS, priced 81546 at the same rate of $3,600 as 81545. Since the Afirma GSC CPT code 81546 was newly issued in 2021, the first PAMA data reporting period for 81546 under the current triennial data reporting process is expected to be January 2029 through March 2029, resulting in a new potential reimbursement rate effective January 1, 2030. There is no guarantee that the Afirma GSC Medicare rate will not be negatively impacted in future PAMA reporting cycles based on the reported weighted median of private commercial payers.</w:t>
      </w:r>
    </w:p>
    <w:p>
      <w:pPr>
        <w:spacing w:after="0" w:line="215"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Decipher Prostate is currently reimbursed by Medicare pursuant to LCDs issued by Palmetto GBA's MolDX program and adopted by Noridian Healthcare Solutions, each acting as a MAC, as well as by a number of commercial payers. However, there are many commercial payers who currently do not provide reimbursement for our prostate genomic tests, or provide only limited reimbursement, and we have contracts for reimbursement with only a limited number of commercial payers for our prostate tests. In September 2024, a new LCD for “Gene Expression Profile Tests for Decision-Making in Castration Resistant and Metastatic Prostate Cancers” was finalized through the MolDX program. We believe that this LCD will broaden our Decipher Prostate coverage to include Castration Resistant and Metastatic prostate cancer patients after a successful review of our Technical Assessment, or TA, submission. There is no guarantee that MolDX will issue a favorable review of our TA. Modifications to the current Medicare coverage of the Decipher Prostate tests could have an adverse effect on our business, financial condition and results of operations.</w:t>
      </w:r>
    </w:p>
    <w:p>
      <w:pPr>
        <w:spacing w:after="0" w:line="216"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Our Decipher Prostate tests were assigned a new American Medical Association Current Procedural Terminology code, or CPT code, 81542, in 2020. CPT code changes can result in a risk of an error being made in the claim adjudication process. Such errors can occur with claims submission, third-party transmission or in the processing of the claim by the payer. Claim adjudication errors may result in a delay in payment processing or a reduction in the amount of the payment we receive.</w:t>
      </w:r>
    </w:p>
    <w:p>
      <w:pPr>
        <w:spacing w:after="0" w:line="20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We submit claims to Medicare for Decipher Prostate using CPT code 81542. CMS assigned 81542 to the gapfilling process in 2020, under which the individual MACs set the payment rate for the test based on the following four factors: (1) charges for the test and routine discounts to charges; (2) resources required to perform the test; (3) payment amounts determined by other payers; and (4) charges, payment amounts, and resources required for other tests that may be comparable or otherwise relevant. 81542 has been priced at $3,873 since January 1, 2021, based on CMS’ revision of the median of payment rates set by the MACs through the gapfilling process. Since the CPT code was issued in 2020, we expect the next PAMA reporting period to take place between January 2029 and March 2029, resulting in a potential new reimbursement rate effective January 1, 2030. There can be no assurance that the Medicare payment rates for Decipher Prostate will not decrease during a future reporting cycle under PAMA.</w:t>
      </w:r>
    </w:p>
    <w:p>
      <w:pPr>
        <w:spacing w:after="0" w:line="213"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An LCD was issued for Prosigna by Palmetto GBA in August 2015, which has been in effect since October 1, 2015. There can be no assurance that the Prosigna payment rate will not decrease during subsequent reporting cycles under PAMA.</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An LCD was issued by Noridian Healthcare Solutions to provide Medicare coverage for the Envisia Genomic Classifier on April 11, 2019.</w:t>
      </w:r>
    </w:p>
    <w:p>
      <w:pPr>
        <w:spacing w:after="0" w:line="245"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submit claims to Medicare for Envisia using CPT code 81554, which became effective January 1, 2021. We applied for New ADLT designation for Envisia, and the test was approved as a New ADLT on September 17, 2020. Effective October 1, 2020 through June 30, 2021, the Medicare payment rate for Envisia was set at $5,500, the actual list charge as defined under the ADLT regulations for the test. Veracyte reported private payer rates for Envisia in March 2021, reflecting final payments between October 1, 2020 and February 28, 2021. The volume-weighted median of these reported rates, which was $5,500, set the payment rate for Envisia from July 1, 2021 through December 31, 2022, after which Envisia will be priced based on private payer rates collected and reported annually. Effective January 1, 2024, the Medicare payment rate for 81554 is $5,500. There can be no assurance that the Medicare payment rate for Envisia will not be reduced when it is set based on the volume-weighted median of private payer rates. Current ADLT PAMA regulations require us to report these private payer rates for Envisia, 81554, annually.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Effective July 18, 2021, Decipher Bladder is reimbursed by Medicare pursuant to LCDs issued by three MACs and Decipher Bladder is covered by a fourth MAC, Noridian Healthcare Solutions, effective as of July 25, 2021. We have not yet contracted with any commercial payers for reimbursement of Decipher Bladder. Our Decipher Bladder test was assigned a new CPT code, 0016M, for 2020.</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We submit claims to Medicare for Decipher Bladder using CPT code 0016M. CMS assigned 0016M to the gapfilling process in 2021. Since January 1, 2022, the payment rate for 0016M has been $3,489.63, based on the median of payment rates set by the MACs through the gapfilling process. There is no assurance that the Medicare payment rate for Decipher Bladder will not decrease during a future reporting cycle under PAMA.</w:t>
      </w:r>
    </w:p>
    <w:p>
      <w:pPr>
        <w:spacing w:after="0" w:line="20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Although we have entered into contracts with certain third-party payers that establish in-network allowable rates of reimbursement for many of our tests, payers may suspend or discontinue reimbursement at any time, with or without notice, for technical or other reasons, may require or increase co-payments from patients, or may reduce the reimbursement rates paid to us. Reductions in private payer amounts could decrease the Medicare payment rates for our tests under PAMA. In addition, many private payers now require prior authorization for molecular diagnostic tests. Potential reductions in reimbursement rates or increases in the difficulty of achieving payment could have a negative effect on our revenue.</w:t>
      </w:r>
    </w:p>
    <w:p>
      <w:pPr>
        <w:spacing w:after="0" w:line="208"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86"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202" w:lineRule="exact"/>
        <w:rPr>
          <w:sz w:val="20"/>
          <w:szCs w:val="20"/>
          <w:color w:val="auto"/>
        </w:rPr>
      </w:pPr>
    </w:p>
    <w:p>
      <w:pPr>
        <w:ind w:left="640" w:hanging="315"/>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experimental or investigational;</w:t>
      </w:r>
    </w:p>
    <w:p>
      <w:pPr>
        <w:spacing w:after="0" w:line="11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pre-authorized and appropriate for the specific patient;</w:t>
      </w:r>
    </w:p>
    <w:p>
      <w:pPr>
        <w:spacing w:after="0" w:line="11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w:t>
      </w:r>
    </w:p>
    <w:p>
      <w:pPr>
        <w:spacing w:after="0" w:line="11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supported by peer-reviewed publications; and</w:t>
      </w:r>
    </w:p>
    <w:p>
      <w:pPr>
        <w:spacing w:after="0" w:line="11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clinical practice guidelines.</w:t>
      </w:r>
    </w:p>
    <w:p>
      <w:pPr>
        <w:spacing w:after="0" w:line="245"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Since each payer makes its own decision as to whether to establish a coverage policy or enter into a contract to reimburse our tests, seeking these approvals is a time-consuming and costly process.</w:t>
      </w:r>
    </w:p>
    <w:p>
      <w:pPr>
        <w:spacing w:after="0" w:line="19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are an out-of-network provider with some commercial payers in the United States and thus, we do not have control over rates or terms of reimbursement. Without contracted rates for reimbursement, our claims are often denied upon submission, and we must appeal the claims. The appeals process is time consuming and expensive and may not result in payment. In cases where we are out-of-network, there is typically a greater patient cost-share responsibility which may result in further delays and/or decreased likelihood of collection. Payers may attempt to recoup prior payments after review, sometimes after significant time has passed, which would impact future revenue.</w:t>
      </w:r>
    </w:p>
    <w:p>
      <w:pPr>
        <w:spacing w:after="0" w:line="212" w:lineRule="exact"/>
        <w:rPr>
          <w:sz w:val="20"/>
          <w:szCs w:val="20"/>
          <w:color w:val="auto"/>
        </w:rPr>
      </w:pPr>
    </w:p>
    <w:p>
      <w:pPr>
        <w:jc w:val="both"/>
        <w:ind w:firstLine="399"/>
        <w:spacing w:after="0" w:line="267" w:lineRule="auto"/>
        <w:rPr>
          <w:sz w:val="20"/>
          <w:szCs w:val="20"/>
          <w:color w:val="auto"/>
        </w:rPr>
      </w:pPr>
      <w:r>
        <w:rPr>
          <w:rFonts w:ascii="Times New Roman" w:cs="Times New Roman" w:eastAsia="Times New Roman" w:hAnsi="Times New Roman"/>
          <w:sz w:val="17"/>
          <w:szCs w:val="17"/>
          <w:color w:val="auto"/>
        </w:rPr>
        <w:t>We expect to continue to focus substantial resources on increasing adoption, coverage and reimbursement for the Decipher Prostate, Afirma, Prosigna and Decipher Bladder, as well as any other future tests we may develop. We believe it will take several years to achieve coverage and contracted reimbursement with a majority of third-party payers across our entire portfolio of tests.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rates for our tests, the payment rates for some of our commercial payers may also decrease if they tie their allowable rates to the Medicare rates. Reductions in private payer amounts could decrease the Medicare payment rates for our tests under PAMA. Our failure to establish broad adoption of and reimbursement for our tests, or our inability to maintain existing reimbursement from payers, will negatively impact our ability to generate revenue and sustain profitability, as well as our future prospects and our business.</w:t>
      </w:r>
    </w:p>
    <w:p>
      <w:pPr>
        <w:spacing w:after="0" w:line="1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limits on our revenue if physicians decide not to order our tests.</w:t>
      </w:r>
    </w:p>
    <w:p>
      <w:pPr>
        <w:spacing w:after="0" w:line="24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If we are unable to create or maintain demand for our tests in sufficient volume, we may not sustain profitability. To generate demand, we will need to continue to educate physicians about the clinical utility and cost-effectiveness of our tests through published papers, presentations at scientific conferences, marketing campaigns and one-on-one education by our sales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force. In addition, our ability to obtain and maintain adequate reimbursement from third-party payers will be critical to generating revenue.</w:t>
      </w:r>
    </w:p>
    <w:p>
      <w:pPr>
        <w:spacing w:after="0" w:line="2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Afirma genomic classifier is included in most physician practice guidelines in the United States for the assessment of patients with thyroid nodules.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historical practice recommended a full or partial thyroidectomy in cases where cytopathology results were indeterminate to confirm a diagnosis.</w:t>
      </w:r>
    </w:p>
    <w:p>
      <w:pPr>
        <w:spacing w:after="0" w:line="226"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strength of the clinical data supporting the use of the Decipher Prostate Genomic Classifier has led to the test’s inclusion in leading clinical guidelines. For example, the Decipher Prostate test received a “Level 1B” evidence designation in the 2024 NCCN Guidelines(R), or NCCN Guidelines, for prostate cancer, distinguishing it as the only gene-expression test to do so.</w:t>
      </w:r>
    </w:p>
    <w:p>
      <w:pPr>
        <w:spacing w:after="0" w:line="20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Although Decipher Prostate Genomic Classifier has been integrated into the NCCN Guidelines, if we are unsuccessful in maintaining the relative level of recommendation of Decipher Prostate or other of our genomic tests within these guidelines, are unable to cause any new or modified genomic tests we develop to be included in these guidelines, are unable to cause our genomic tests to be included in other influential guidelines, or if our competitors are successful at achieving similar or more extensive guidelines for their tests, we may be at a disadvantage in gaining market acceptance and market share relative to our competitors.</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Envisia test is included but not yet recommended in practice guidelines and physicians may be reluctant to order tests that are not recommended in these guidelines. The Prosigna test is included in practice guidelines in the United States and internationally but faces competition from other products globally.</w:t>
      </w:r>
    </w:p>
    <w:p>
      <w:pPr>
        <w:spacing w:after="0" w:line="20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Because our Decipher Prostate Genomic Classifier, Afirma, Envisia, and Decipher Bladder testing services are performed by our certified laboratories under the CLIA, rather than by the local laboratory or pathology practice, pathologists may be reluctant to support our testing services as well. Guidelines that include our tests currently may subsequently be revised to recommend another testing protocol, and these changes may result in physicians deciding not to use our tests. Lack of guideline inclusion could limit the adoption of our tests and our ability to generate revenue and sustain profitability. To the extent international markets have existing practices and standards of care that are different than those in the United States, we may face challenges with the adoption of our tests in international markets.</w:t>
      </w: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limits on our revenue if patients decide not to use our tests as a result of increased costs, fees or changing payer policies.</w:t>
      </w:r>
    </w:p>
    <w:p>
      <w:pPr>
        <w:spacing w:after="0" w:line="249"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putting patients in the position of having to pay more for our tests. In addition, volatile interest rates and ongoing inflation in the United States and globally may put further pressure on insurers and other providers to raise prices or reduce reimbursement, increasing the cost to the patient. We expect to continue to see pressure from payers to limit the utilization of tests, generally, and we believe more payers are deploying costs containment tactics, such as pre-authorization and employing laboratory benefit managers to reduce utilization rates. Implementation of provisions of the Patient Protection and Affordable Care Act, as amended by the Health Care and Education Affordability Reconciliation Act, collectively the ACA, has also resulted in increases in premiums and reductions in coverage for some patients. These events may result in patients delaying or forgoing medical checkups or treatment due to their inability to pay for our tests, which could have an adverse effect on our revenue.</w:t>
      </w:r>
    </w:p>
    <w:p>
      <w:pPr>
        <w:spacing w:after="0" w:line="210"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licensing requirements, we could lose the ability to perform our tests or experience disruptions to our business.</w:t>
      </w:r>
    </w:p>
    <w:p>
      <w:pPr>
        <w:spacing w:after="0" w:line="186" w:lineRule="exact"/>
        <w:rPr>
          <w:sz w:val="20"/>
          <w:szCs w:val="20"/>
          <w:color w:val="auto"/>
        </w:rPr>
      </w:pPr>
    </w:p>
    <w:p>
      <w:pPr>
        <w:jc w:val="both"/>
        <w:ind w:firstLine="399"/>
        <w:spacing w:after="0" w:line="268" w:lineRule="auto"/>
        <w:rPr>
          <w:sz w:val="20"/>
          <w:szCs w:val="20"/>
          <w:color w:val="auto"/>
        </w:rPr>
      </w:pPr>
      <w:r>
        <w:rPr>
          <w:rFonts w:ascii="Times New Roman" w:cs="Times New Roman" w:eastAsia="Times New Roman" w:hAnsi="Times New Roman"/>
          <w:sz w:val="17"/>
          <w:szCs w:val="17"/>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personnel qualifications, facilities administration, quality systems, inspections,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conduct random inspections of our clinical reference laboratories. If we fail to maintain CLIA certificates in our South San Francisco, California; San Diego, California; or Austin, Texas laboratory locations, we would be unable to bill for services provided by state and federal healthcare programs, as well as many private third-party payers, which may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We are also required to maintain state licenses to conduct testing in our laboratories. California, New York, and Texas, among other states’ laws, require that we maintain a license and comply with state regulation as a clinical laboratory. Other states may have similar requirements or may adopt similar requirements in the future. In addition, all of our clinical laboratories are required to be licensed on a test-specific basis by New York. We have received approval for the Decipher Prostate, Afirma, Envisia and Decipher Bladder tests. We will be required to obtain approval for other tests we may offer in the future. If we were to lose our CLIA certificate or California license for our South San Francisco or San Diego laboratories, whether as a result of revocation, suspension, limitation or otherwise, we would no longer be able to perform our molecular tests, which would eliminate our primary source of revenue and harm our business. If we fail to meet the state licensing requirements for our Austin laboratory, whether as a result of revocation, suspension, limitation or otherwise, it could result in a delay in processing tests during that transition and increased costs. If we were to lose our licenses issued by New York or by other states where we are required to hold licenses, we would not be able to test specimens from those states. New tests we may develop, and modifications to existing tests, may be subject to new approvals by regulatory bodies such as the New York State Department of Health, and we may not be able to offer our new or modified tests until such approvals are received. Furthermore, certain state agencies, including the New York State Department of Health, have been experiencing delays in their response time which may cause delay in our receipt of our corresponding approvals or renewals for our tests.</w:t>
      </w:r>
    </w:p>
    <w:p>
      <w:pPr>
        <w:spacing w:after="0" w:line="211" w:lineRule="exact"/>
        <w:rPr>
          <w:sz w:val="20"/>
          <w:szCs w:val="20"/>
          <w:color w:val="auto"/>
        </w:rPr>
      </w:pPr>
    </w:p>
    <w:p>
      <w:pPr>
        <w:jc w:val="both"/>
        <w:ind w:firstLine="12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for various reasons, including in response to the way we recognize revenue, our level of profitability and/or the amount of cash we generate, which may cause our stock price to fluctuate or decline.</w:t>
      </w:r>
    </w:p>
    <w:p>
      <w:pPr>
        <w:spacing w:after="0" w:line="195"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Our quarterly financial and operating results depend on sales of our products in the markets we operate and are sensitive to a number of factors, including reimbursement, patient and clinician demand, market conditions in the United States and globally, and the prevalence of the indications we seek to address. In addition, we cannot be sure that we will be able to successfully complete development of or commercialize any of our planned future products, or that they will prove to be capable of reliably being used. Before we can successfully develop and commercialize any of our currently planned or other new diagnostic solutions, we will need to:</w:t>
      </w:r>
    </w:p>
    <w:p>
      <w:pPr>
        <w:spacing w:after="0" w:line="212" w:lineRule="exact"/>
        <w:rPr>
          <w:sz w:val="20"/>
          <w:szCs w:val="20"/>
          <w:color w:val="auto"/>
        </w:rPr>
      </w:pPr>
    </w:p>
    <w:p>
      <w:pPr>
        <w:ind w:left="1280" w:hanging="556"/>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substantial research and development;</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testing samples and related data;</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analytical and clinical validation studies, as well as clinical utility studies;</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funds;</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scale-up our laboratory processes;</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train our sales force;</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acceptance from a large number of ordering clinicians;</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acceptance from ordering laboratories; and</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obtain regulatory clearances, approvals or certifications of our new solutions, as required by applicable regulatory bodies.</w:t>
      </w:r>
    </w:p>
    <w:p>
      <w:pPr>
        <w:spacing w:after="0" w:line="298"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This process involves a high degree of risk and may take up to several years or more. Our test development and commercialization efforts may be delayed or fail for many reasons, including:</w:t>
      </w:r>
    </w:p>
    <w:p>
      <w:pPr>
        <w:spacing w:after="0" w:line="190" w:lineRule="exact"/>
        <w:rPr>
          <w:sz w:val="20"/>
          <w:szCs w:val="20"/>
          <w:color w:val="auto"/>
        </w:rPr>
      </w:pPr>
    </w:p>
    <w:p>
      <w:pPr>
        <w:ind w:left="1280" w:hanging="556"/>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test at the research or development stage;</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accessing suitable testing samples, especially testing samples with known clinical results;</w:t>
      </w:r>
    </w:p>
    <w:p>
      <w:pPr>
        <w:spacing w:after="0" w:line="58" w:lineRule="exact"/>
        <w:rPr>
          <w:rFonts w:ascii="Times New Roman" w:cs="Times New Roman" w:eastAsia="Times New Roman" w:hAnsi="Times New Roman"/>
          <w:sz w:val="18"/>
          <w:szCs w:val="18"/>
          <w:color w:val="auto"/>
        </w:rPr>
      </w:pPr>
    </w:p>
    <w:p>
      <w:pPr>
        <w:ind w:left="1280" w:hanging="556"/>
        <w:spacing w:after="0" w:line="275" w:lineRule="auto"/>
        <w:tabs>
          <w:tab w:leader="none" w:pos="12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analytical and clinical validation data to support the effectiveness of the test, or lack of clinical utility data to support the value of the test;</w:t>
      </w:r>
    </w:p>
    <w:p>
      <w:pPr>
        <w:spacing w:after="0" w:line="4"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resulting from the failure of third-party suppliers or contractors to meet their obligations in a timely and cost-effective manner;</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or maintain necessary clearances, approvals or certifications to market the test;</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constraints due to limited energy supply in Europe or other supply constraints; or</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commercial acceptance by patients, clinicians or third-party payers.</w:t>
      </w:r>
    </w:p>
    <w:p>
      <w:pPr>
        <w:spacing w:after="0" w:line="245"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Few research and development projects result in commercial products, and success in early clinical studies often is not replicated in later studies. At any point, we may abandon development of new diagnostic tests, or we may be required to expend considerable resources repeating clinical studies, which would adversely impact the timing for generating potential revenue from those new diagnostic tests. In addition, as we develop tests, we will have to make additional investments in our laboratory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operations as well as sales and marketing operations, which may be prematurely or unnecessarily incurred if the commercial launch of a test is abandoned or delayed. If a clinical validation study fails to demonstrate the prospectively defined endpoints of the study, we would likely abandon the development of the test or test feature that was the subject of the clinical study, which could harm our business. If a clinical utility study fails to demonstrate the value of a particular test, we may choose not to commercialize, or we may not be able to obtain reimbursement for, the test.</w:t>
      </w:r>
    </w:p>
    <w:p>
      <w:pPr>
        <w:spacing w:after="0" w:line="207"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In addition, we recognize test revenue upon delivery of the patient report to the prescribing physician based on the amount we expect to ultimately realize. We determine the amount we expect to ultimately realize based on payer reimbursement history, contracts, and coverage. Upon ultimate collection, the amount received is compared to the estimates and the amount accrued is adjusted accordingly. We cannot be certain as to when we will receive payment for our diagnostic tests, and we must appeal negative payment decisions, which delays collections. Should judgments underlying estimated reimbursement change or be incorrect at the time we accrued such revenue, our financial results could be negatively impacted in future quarters. Furthermore, most of our European sales are denominated in Euros, and if the U.S. dollar strengthens relative to the Euro, our results of operations may be adversely affected even where our underlying business is performing as anticipated. As a result, comparing our operating results on a period-to-period basis may not be meaningful. You should not rely on our past results as an indication of our future performance. In addition, these fluctuations in revenue may make it difficult for us, for securities analysts and for investors to accurately forecast our revenue and operating results. If our revenue or operating results fall below expectations, the price of our common stock would likely decline.</w:t>
      </w:r>
    </w:p>
    <w:p>
      <w:pPr>
        <w:spacing w:after="0" w:line="215"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our general strategy of seeking growth through acquisitions and collaborations is not successful, or if we do not successfully integrate companies or assets that we acquire into our business, our prospects and financial condition will suffer.</w:t>
      </w:r>
    </w:p>
    <w:p>
      <w:pPr>
        <w:spacing w:after="0" w:line="186"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As an element of our growth strategy, we have, from time to time, pursued opportunities to license assets or purchase companies or assets that we believe would complement our current business or help us expand into new markets. For example, we recently acquired C2i. We may pursue additional acquisitions of complementary businesses or assets as part of our business strategy. There can be no assurance that we will successfully integrate the assets acquired from such acquisitions into our existing business. This and any future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216"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To finance any acquisitions or investments, we have previously issued, and may choose in the future,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w:t>
      </w: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and international growth depend, in part, on our ability to adapt, manufacture and distribute our tests as IVD tests.</w:t>
      </w:r>
    </w:p>
    <w:p>
      <w:pPr>
        <w:spacing w:after="0" w:line="249"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Our strategy to expand into international markets depends on our ability to successfully adapt our menu of diagnostic tests as in vitro diagnostics, or IVDs, and secure necessary regulatory approvals. Currently, the Prosigna breast cancer assay is available on the nCounter Analysis System platform. If we are not able to adapt our current or future tests to be performed on quantitative polymerase chain reaction, or qPCR, or next generation sequencing, or NGS, IVD platforms or if our tests fail to be competitive against competing products in international markets, our prospects for growth could suffer. In addition, to the extent international markets have existing practices and standards of care that are different than those in the United States, we may face challenges with the adoption of our tests in international markets. For commercialization of our tests on other IVD platforms, we will be dependent on third parties for the support and clinical registration of their platforms as well as certain reagents, instruments, software or components.</w:t>
      </w:r>
    </w:p>
    <w:p>
      <w:pPr>
        <w:spacing w:after="0" w:line="2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The revenue that we are expecting in our biopharma and other services business may not transpire.</w:t>
      </w:r>
    </w:p>
    <w:p>
      <w:pPr>
        <w:spacing w:after="0" w:line="236"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In 2023 and for the nine months ended September 30, 2024, we have experienced significant declines in biopharma and other services revenue as a result of reductions in customer projects, extended sales cycles and overall spending constraints across the industry. The success of our biopharma services business depends in part on our ability to identify and successfully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negotiate with appropriate pharma partners. We cannot guarantee that we will be successful in the identification of appropriate pharma partners or the successful and timely negotiation with such partners, or that existing partners will not terminate their agreements with us.</w:t>
      </w:r>
    </w:p>
    <w:p>
      <w:pPr>
        <w:spacing w:after="0" w:line="186" w:lineRule="exact"/>
        <w:rPr>
          <w:sz w:val="20"/>
          <w:szCs w:val="20"/>
          <w:color w:val="auto"/>
        </w:rPr>
      </w:pPr>
    </w:p>
    <w:p>
      <w:pPr>
        <w:jc w:val="both"/>
        <w:ind w:firstLine="12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rely on sole suppliers for some of the reagents, equipment and other materials used to perform our tests, as well as certain sole source providers for kit components, instruments and associated services. We may not be able to find replacements or transition to alternative suppliers or service providers, which may materially impact our ability to generate revenue.</w:t>
      </w:r>
    </w:p>
    <w:p>
      <w:pPr>
        <w:spacing w:after="0" w:line="195"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rely on sole suppliers for critical supply of reagents, equipment and other materials and services that we use to perform our tests as well as to satisfy demand for our Prosigna test kits, service kits and service on the nCounter Analysis System. We also purchase components used in our sample collection kits from sole-source suppliers. Some of these items are unique to these suppliers and vendors and their inability to provide us with reagents that perform to specifications, could negatively impact our ability to provide timely response and reports to our customers and, as a result, may materially impact our ability to generate revenue.</w:t>
      </w:r>
    </w:p>
    <w:p>
      <w:pPr>
        <w:spacing w:after="0" w:line="21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If suppliers can no longer provide us with the materials we need to perform tests or produce test kits, if the materials do not meet our quality specifications or are otherwise unusable, if we cannot obtain acceptable substitute materials, or if we elect to change suppliers, a sustained interruption in test processing or system and test kit deliveries could occur, we may not be able to deliver tests to physicians or deliver patient reports and we may incur higher one-time switching costs.</w:t>
      </w:r>
    </w:p>
    <w:p>
      <w:pPr>
        <w:spacing w:after="0" w:line="20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We rely on NanoString, now Bruker Corporation as a result of Bruker Corporation’s asset acquisition of NanoString, for certain components and raw materials for the Lymphmark and Prosigna test and nCounter service kits, as well as service of the nCounter Analysis System. In February 2024, NanoString filed for bankruptcy under Chapter 11 of the United States Bankruptcy Code in the U.S. Bankruptcy Court in Delaware and in May 2024, Bruker Corporation closed its asset acquisition of the business of NanoString. We are actively participating in the NanoString bankruptcy proceedings and may experience disruption in the supply or services as a result of the NanoString bankruptcy proceedings or the acquisition of certain assets by Bruker Corporation. We have largely completed the transition of the manufacturing of Prosigna test kits to our facility in Marseille, France but have and may continue to experience quality, regulatory, or manufacturing irregularities and challenges resulting from this transition.</w:t>
      </w:r>
    </w:p>
    <w:p>
      <w:pPr>
        <w:spacing w:after="0" w:line="213"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We rely on sole service providers for certain services such as cytopathology professional diagnoses on thyroid fine needle aspiration. If any of these service providers were unable to provide the quality or quantity of services that we require, or if we were unable to agree on commercial terms and our relationships with such service providers were to terminate, our business could be harmed until we were able to secure the services of another provider.</w:t>
      </w:r>
    </w:p>
    <w:p>
      <w:pPr>
        <w:spacing w:after="0" w:line="202"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While we have developed alternate sourcing strategies for many materials, vendors and service providers, we cannot be certain whether these strategies will be effective or the alternative sources will be available when we need them. Moreover, the supply of key reagents and testing materials has been periodically challenged by quality of reagents received. Further, we experience supply chain disruptions, although, to date, this has not resulted in delays in our ability to timely return test results.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supplies were available. If our total test volume decreases or we switch suppliers, we may hold excess supplies with expiration dates that occur before use which would adversely affect our losses and cash flow position. As we introduce any new test, we may experience supply issues as we ramp test volume.</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future growth effectively, which could make it difficult to execute our business strategy.</w:t>
      </w:r>
    </w:p>
    <w:p>
      <w:pPr>
        <w:spacing w:after="0" w:line="236"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support demand for our tests, products or services, our business could suffer.</w:t>
      </w:r>
    </w:p>
    <w:p>
      <w:pPr>
        <w:spacing w:after="0" w:line="249"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As demand for our tests, products and services grow, we will need to continue to scale our capacity and processing technology, expand customer service, billing and systems processes, enhance our internal quality assurance program and ensure test and product continuity. We will also need additional certified laboratory scientists as well as other scientific and technical personnel to process higher volumes. We cannot assure that any increases in scale, related improvements, supply of reagents to perform testing, and quality assurance measures will be successfully implemented or that appropriate personnel will be available and able to be hired. Failure to implement necessary procedures, transition to new processes or hire the necessary personnel could result in higher costs of processing tests, quality control issues or inability to meet demand. There can be no assurance that we will be able to perform our testing or fulfill our product, testing, or service commitments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210"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policy, including legislation reforming the U.S. healthcare system, recent U.S. Supreme Court judicial decisions and potential changes in the regulatory environment, may have a material adverse effect on our financial condition and operations.</w:t>
      </w:r>
    </w:p>
    <w:p>
      <w:pPr>
        <w:spacing w:after="0" w:line="186"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 ACA, enacted in March 2010, made changes that significantly affected the pharmaceutical and medical device industries and clinical laboratories. Along with the now-repealed 2.3% excise tax on the sale of certain medical devices sold outside of the retail setting, 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In addition, various efforts to amend the ACA are ongoing. We cannot predict if, or when, the ACA will be amended, and cannot predict the impact that an amendment of the ACA will have on our business.</w:t>
      </w:r>
    </w:p>
    <w:p>
      <w:pPr>
        <w:spacing w:after="0" w:line="216"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became subject to a reduction of 2% due to the automatic expense reductions (sequester). In March 2020, Congress passed the CARES Act, which suspended the 2% reduction in Medicare fee-for-service payments from May 1, 2020 through December 31, 2020. To account for this temporary suspension, the legislation also extends the effect of sequestration by a year (now through fiscal year 2031). Reductions resulting from the Congressional sequester are applied to total claims payment made; however, they do not currently result in a rebasing of the negotiated or established Medicare or Medicaid reimbursement rates. In December 2020, Congress passed the Consolidated Appropriations Act of 2021, or CAA, which extended the suspension through March 31, 2021. Legislation enacted April 14, 2021 further extended the suspension through December 31, 2021. The Protecting Medicare and American Farmers from Sequester Cuts Act, enacted on December 10, 2021, extends the suspension through March 31, 2022, after which a 1.0% sequestration would apply for Medicare payments made between April 1, 2022 and June 30, 2022. The legislation also applies a 2.25% sequestration to Medicare payments made during the first six months of fiscal year 2030, and a 3% reduction to payments made during the last six months of fiscal year 2030.</w:t>
      </w:r>
    </w:p>
    <w:p>
      <w:pPr>
        <w:spacing w:after="0" w:line="213" w:lineRule="exact"/>
        <w:rPr>
          <w:sz w:val="20"/>
          <w:szCs w:val="20"/>
          <w:color w:val="auto"/>
        </w:rPr>
      </w:pPr>
    </w:p>
    <w:p>
      <w:pPr>
        <w:jc w:val="both"/>
        <w:ind w:firstLine="399"/>
        <w:spacing w:after="0" w:line="270" w:lineRule="auto"/>
        <w:rPr>
          <w:sz w:val="20"/>
          <w:szCs w:val="20"/>
          <w:color w:val="auto"/>
        </w:rPr>
      </w:pPr>
      <w:r>
        <w:rPr>
          <w:rFonts w:ascii="Times New Roman" w:cs="Times New Roman" w:eastAsia="Times New Roman" w:hAnsi="Times New Roman"/>
          <w:sz w:val="17"/>
          <w:szCs w:val="17"/>
          <w:color w:val="auto"/>
        </w:rPr>
        <w:t>State legislation on reimbursement applies to Medicaid reimbursement and managed Medicaid reimbursement rates within that state. Some states have passed or proposed legislation that would revise the reimbursement methodology for clinical laboratory payment rates under those Medicaid programs. For example, effective July 2015, California’s Department of Health Care Services implemented a new rate methodology for clinical laboratories and laboratory services. This methodology involved the use of a range of rates that fell between zero and 80% of the calculated California-specific Medicare rate and the calculation of a weighted average (based on units billed) of such rates. Effective for dates of service on or after July 1, 2022, the cap at 80% of the Medicare rate has been replaced with a cap at 100% of the lowest maximum allowance established by the federal Medicare program for the same or similar services.</w:t>
      </w:r>
    </w:p>
    <w:p>
      <w:pPr>
        <w:spacing w:after="0" w:line="196" w:lineRule="exact"/>
        <w:rPr>
          <w:sz w:val="20"/>
          <w:szCs w:val="20"/>
          <w:color w:val="auto"/>
        </w:rPr>
      </w:pPr>
    </w:p>
    <w:p>
      <w:pPr>
        <w:jc w:val="both"/>
        <w:ind w:firstLine="399"/>
        <w:spacing w:after="0" w:line="276" w:lineRule="auto"/>
        <w:rPr>
          <w:sz w:val="20"/>
          <w:szCs w:val="20"/>
          <w:color w:val="auto"/>
        </w:rPr>
      </w:pPr>
      <w:r>
        <w:rPr>
          <w:rFonts w:ascii="Times New Roman" w:cs="Times New Roman" w:eastAsia="Times New Roman" w:hAnsi="Times New Roman"/>
          <w:sz w:val="17"/>
          <w:szCs w:val="17"/>
          <w:color w:val="auto"/>
        </w:rPr>
        <w:t>We cannot predict whether future healthcare initiatives will be implemented at the federal or state level or in countries outside of the United States in which we do or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addition, sales of our tests outside the United States subject our business to foreign regulatory requirements and cost-reduction measures, which may also change over time.</w:t>
      </w:r>
    </w:p>
    <w:p>
      <w:pPr>
        <w:spacing w:after="0" w:line="19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20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CMS bundles payments for many clinical laboratory diagnostic tests together with other services performed during hospital outpatient visits under the Hospital Outpatient Prospective Payment System. CMS currently maintains an exemption for molecular pathology tests and “Criterion A” ADLTs from this bundling provision. It is possible that this exemption could be removed by CMS in future rule making, which might result in lower reimbursement for tests performed in this setting.</w:t>
      </w:r>
    </w:p>
    <w:p>
      <w:pPr>
        <w:spacing w:after="0" w:line="207"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18"/>
          <w:szCs w:val="18"/>
          <w:color w:val="auto"/>
        </w:rPr>
        <w:t>PAMA includes a substantial new payment system for clinical laboratory tests under the CLFS. Under PAMA, laboratories that receive the majority of their Medicare revenue from payments made under the CLFS and the Physician Fee Schedule would report on a triennial basis (or annually for ADLTs), private payer rates and volumes for their tests with specific CPT codes based on final payments made during a set data collection period (the first of which was January 1 through June 30, 2016). We believe that PAMA and its implementing regulations are generally favorable to us. We reported to CMS the data required under PAMA before the March 31, 2017 deadline. The new payment rate for the Afirma genomic classifier based on the volume-weighted median of private payer rates took effect January 1, 2018, increasing from $3,220 to $3,600 through December 31, 2020. In December 2019, through the Further Consolidated Appropriations Act of 2020, Congress delayed the next data reporting period from 2020 to 2021 for final payments made between January 1 and June 30, 2019, extending the applicability of the current rate for Afirma through December 31, 2021. In March 2020, through the CARES Act, Congress further delayed the next reporting period to 2022 for final payments made between January 1 and June 30, 2019, extending the applicability of the payment rates based on 2017 reporting through December 31, 2022. In December 2021, through the Protecting Medicare and American Farmers from Sequester Cuts Act, Congress further delayed the next reporting period to 2023. In December 2022, through the Consolidated Appropriations Act of 2023, Congress further delayed the next reporting period to 2024. In November 2023, through the Further Continuing Appropriations and Other Extensions Act of 2024, Congress further delayed the next reporting period to 2025. In September 2024, through the Continuing Appropriations and Extensions Act of 2025, Congress again delayed the next reporting period to 2026. There can be no assurance that the payment rate for Afirma or Prosigna will not decrease in the future or that the payment rates for Decipher Prostate or Decipher Bladder will not be adversely affected by the PAMA law and regulations.</w:t>
      </w:r>
    </w:p>
    <w:p>
      <w:pPr>
        <w:spacing w:after="0" w:line="222" w:lineRule="exact"/>
        <w:rPr>
          <w:sz w:val="20"/>
          <w:szCs w:val="20"/>
          <w:color w:val="auto"/>
        </w:rPr>
      </w:pPr>
    </w:p>
    <w:p>
      <w:pPr>
        <w:jc w:val="both"/>
        <w:ind w:firstLine="399"/>
        <w:spacing w:after="0" w:line="272" w:lineRule="auto"/>
        <w:rPr>
          <w:sz w:val="20"/>
          <w:szCs w:val="20"/>
          <w:color w:val="auto"/>
        </w:rPr>
      </w:pPr>
      <w:r>
        <w:rPr>
          <w:rFonts w:ascii="Times New Roman" w:cs="Times New Roman" w:eastAsia="Times New Roman" w:hAnsi="Times New Roman"/>
          <w:sz w:val="17"/>
          <w:szCs w:val="17"/>
          <w:color w:val="auto"/>
        </w:rPr>
        <w:t>Our Envisia classifier was approved by CMS as a New ADLT on September 17, 2020. The initial payment rate (for a period not to exceed nine months) under PAMA for a New ADLT (an ADLT for which payment has not been made under the CLFS prior to January 1, 2018) will be set at the “actual list charge” for the test as reported by the laboratory. Envisia’s Medicare price on the CLFS is based on private payer rates collected and reported annually, which can lead to the Medicare price fluctuating on January 1st of each year. We can determine whether to seek ADLT status for our tests, but there can be no assurance that our tests will be designated ADLTs or that the payment rates for our tests, including Envisia, will not be adversely affected by such designation.</w:t>
      </w:r>
    </w:p>
    <w:p>
      <w:pPr>
        <w:spacing w:after="0" w:line="195"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There have also been substantial changes to the payment structure for physicians, including those passed as part of the Medicare Access and CHIP Reauthorization Act of 2015, or MACRA, which was signed into law on April 16, 2015.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tests.</w:t>
      </w:r>
    </w:p>
    <w:p>
      <w:pPr>
        <w:spacing w:after="0" w:line="21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December 2016, Congress passed the 21st Century Cures Act, which, among other things, revised the process for LCDs. Additionally, effective June 11, 2017, a MAC is required to, among other things, publish a summary of the evidence that it considered when developing an LCD, including a list of sources, and an explanation of the rationale that supports the MAC’s determinations. In October 2018, CMS issued additional guidance revising the requirements for the development of LCDs. We cannot predict whether these revisions will delay future LCDs and result in impeded coverage for our test products, which could have a material negative impact on revenue.</w:t>
      </w:r>
    </w:p>
    <w:p>
      <w:pPr>
        <w:spacing w:after="0" w:line="21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In December 2020, in its enactment of the CAA, Congress enacted the No Surprises Act. This law, which took effect on January 1, 2022, prohibits an out-of-network provider from billing a patient at an amount in excess of the in-network cost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sharing for services furnished with respect to a visit at certain in-network health-care facilities. The law establishes an independent dispute resolution process between the provider and the payer to determine the appropriate payment rate to the provider. As written, the No Surprises Act may apply to laboratory tests furnished by an independent laboratory with respect to a hospital visit. The law establishes a notice and consent exception that generally does not apply to laboratory tests, although it allows for the Secretary of the Department of Health and Human Services, or HHS, to apply the exception to certain advanced tests. HHS, the Department of Labor, and the Department of the Treasury have implemented the No Surprises Act through rulemakings issued on July 1, 2021, September 30, 2021, and August 19, 2022. The No Surprises Act, and regulations and subregulatory guidance promulgated thereunder, could limit our ability to achieve payment in full for our testing services.</w:t>
      </w:r>
    </w:p>
    <w:p>
      <w:pPr>
        <w:spacing w:after="0" w:line="213"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Further, in June 2024, the U.S. Supreme Court reversed its longstanding approach under the Chevron doctrine, which provided for judicial deference to regulatory agencies, including the FDA. As a result of this decision, there may be increased challenges to existing agency regulations and policies and it is uncertain how lower courts will apply the decision in the context of other regulatory schemes. This decision may result in regulatory uncertainties in the healthcare industry and could impact the timely review of any regulatory filings or applications we submit to the FDA, which could negatively impact our business.</w:t>
      </w: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Because of Medicare billing rules, we may not receive reimbursement for all tests provided to Medicare patients.</w:t>
      </w:r>
    </w:p>
    <w:p>
      <w:pPr>
        <w:spacing w:after="0" w:line="24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Under previous Medicare billing rules, hospitals were required to bill for our molecular pathology tests when performed on Medicare beneficiaries who were hospital outpatients at the time of tissue specimen collection when these tests were ordered less than 14 days following the date of the patient's discharge.</w:t>
      </w:r>
    </w:p>
    <w:p>
      <w:pPr>
        <w:spacing w:after="0" w:line="20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Effective January 1, 2018, CMS revised its billing rules to allow the performing laboratory to bill Medicare directly for molecular pathology tests and Criterion A ADLTs performed on specimens collected from hospital outpatients, even when those tests are ordered less than 14 days after the date of discharge, if certain conditions are met. We believe that our Decipher Prostate, Afirma, Envisia, and Decipher Bladder classifiers, along with Prosigna, should be covered by this policy. Accordingly, we bill Medicare for these tests when we perform them on specimens collected from hospital outpatients and meet the conditions set forth in CMS's revised billing rules.</w:t>
      </w:r>
    </w:p>
    <w:p>
      <w:pPr>
        <w:spacing w:after="0" w:line="21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This change does not apply to tests performed on specimens collected from hospital inpatients. We will continue to bill hospitals for tests performed on specimens collected from hospital inpatients when the test was ordered less than 14 days after the date of discharge.</w:t>
      </w:r>
    </w:p>
    <w:p>
      <w:pPr>
        <w:spacing w:after="0" w:line="19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In the CY 2020 Hospital Outpatient Prospective Payment System Proposed Rule, CMS solicited comments on potential revisions to these billing rules that could have impacted our ability to bill Medicare directly for our Decipher Prostate, Afirma, Envisia, and Decipher Bladder classifiers, as well as for Prosigna, when performed on specimens collected from hospital outpatients. Although these changes were not finalized, if CMS makes similar changes in the future, it could negatively impact our business.</w:t>
      </w:r>
    </w:p>
    <w:p>
      <w:pPr>
        <w:spacing w:after="0" w:line="20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In addition, we must maintain CLIA compliance and certification to sell our tests and be eligible to bill for diagnostic services provided to Medicare beneficiaries.</w:t>
      </w:r>
    </w:p>
    <w:p>
      <w:pPr>
        <w:spacing w:after="0" w:line="186"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FDA or foreign authorities regulation those of our tests that they do not currently regulate, could result in Veracyte incurring substantial costs and delays associated with trying to obtain premarket clearance, approval or certification.</w:t>
      </w:r>
    </w:p>
    <w:p>
      <w:pPr>
        <w:spacing w:after="0" w:line="186"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Clinical laboratory tests have long been subject to comprehensive regulations under CLIA, as well as by applicable state laws. Most clinical diagnostic tests developed and run within a single CLIA-certified clinical laboratory (known as laboratory developed tests or LDTs), are not currently subject to regulation under the FDA's enforcement discretion policy concerning LDTs. While the FDA has historically maintained its authority to regulate LDTs, it has generally exercised enforcement discretion not to enforce the premarket review, quality system/current Good Manufacturing Practices regulations, and other applicable medical device requirements against most LDT developers and users. Certain reagents, instruments, software or components manufactured and sold by third parties and used by their customers to manufacture or perform diagnostic tests may be subject to regulation under certain circumstances. We believe that the Decipher Prostate, Afirma, Envisia, and Decipher Bladder classifiers, have been developed and are performed in a manner consistent with the FDA’s enforcement discretion policy concerning LDTs.</w:t>
      </w:r>
    </w:p>
    <w:p>
      <w:pPr>
        <w:spacing w:after="0" w:line="216"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On April 29, 2024, the FDA released final regulations under 21 CFR Part 809 under the Federal Food, Drug, and Cosmetic Act (FD&amp;C Act) to make explicit that IVD products are devices under the FD&amp;C Act, removing much of the FDAs historical enforcement discretion for most LDTs. In conjunction with this final rule, the FDA proposed to phase out its general enforcement discretion approach for LDTs so that IVDs manufactured by a laboratory would generally fall under the same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enforcement approach as other IVDs. This final rule also provides that FDA intends to exercise enforcement discretion and generally not enforce premarket review and quality system requirements (except for requirements under Part 820, subpart M (records)) for currently marketed IVDs offered as LDTs that were first marketed prior to May 6, 2024 and have not been significantly modified thereafter and intends to exercise enforcement discretion and generally not enforce premarket review requirements for LDTs approved by the New York State Clinical Lab Evaluation Program (NYS CLEP). We believe that Decipher Prostate, Afirma, Envisia, and Decipher Bladder classifiers will enjoy the continued FDA enforcement discretion in their current forms. Additionally, pursuant to the final rule, the FDA will gradually end its general enforcement discretion approach in five stages over a four-year period for other LDTs not approved by NYS CLEP or not already on market. Each stage of the proposed phaseout period would subject LDTs to a set of regulatory requirements. For example, the first stage of the phaseout would require LDT developers to comply with medical device reporting requirements, complaint handling and correction and removal reporting requirements within one year after the FDA publishes the final rule. LDTs that are considered higher risk IVDs would be subject to premarket review requirements within three and a half years, and LDTs that are considered moderate or low risk IVDs would be subject to premarket submission requirements within four years after the FDA publishes the final rule. While the enforcement policy is phased out, the FDA could still decide to pursue enforcement action at any time against LDTs that it deems to be violative of its regulations when appropriate.</w:t>
      </w:r>
    </w:p>
    <w:p>
      <w:pPr>
        <w:spacing w:after="0" w:line="215"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While we enjoy continued FDA enforcement discretion under this final rule for our existing tests, if the FDA were to determine that Decipher Prostate, Afirma, Envisia and Decipher Bladder classifiers, or modifications thereof, are not within the scope of the FDA's enforcement discretion policy for LDTs for any reason, including based on these final rules or new rules, regulations, policies or guidance, or due to changes in statute, our existing tests may become subject to extensive FDA requirements, or our business may otherwise be adversely affected and lead to potential adverse effects on our business, prospects, results of operations and financial condition. Furthermore, under the terms of this FDA final rule as drafted, any future Veracyte tests developed and commercialized, not currently on market, are likely to be subject to extensive FDA requirements which may adversely impact our business, prospects, results of operations and financial conditions.</w:t>
      </w:r>
    </w:p>
    <w:p>
      <w:pPr>
        <w:spacing w:after="0" w:line="213"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In addition, changes in the way the European Union, or EU, regulates LDTs could result in additional expenses for offering our current and any future tests or possibly delay or suspend development, or commercialization of such tests. The EU Regulation (EU) 2017/746 of April 5, 2017, repealing the IVDD, referred to as the IVD Medical Devices Regulation, or IVDR, became applicable on May 26, 2022 (subject to certain transition provisions). Under the IVDR, the general safety and performance requirements set out in Annex I are also applicable to devices that are not placed on the market but used in the context of a commercial activity. If our tests do not qualify for an exemption, we may be subject to the full application of the IVDR with respect to some or all of our existing, as well as future, tests, and we would be required to expend additional time and resources to complying with the requirements of the IVDR. Following Brexit, the IVDR will not be applicable in Great Britain (although it will apply in Northern Ireland), but the UK government is currently undertaking a consultation on the regime applicable to in vitro diagnostics in the UK, and it is anticipated that similar provisions will be introduced as under the IVDR.</w:t>
      </w:r>
    </w:p>
    <w:p>
      <w:pPr>
        <w:spacing w:after="0" w:line="214"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If the FDA or foreign authorities were to require us to seek clearance, approval or certification for our existing tests that are not currently cleared, approved, or certified or any of our future products for clinical use, we may not be able to obtain such clearances, approvals or certifications on a timely basis, or at all. If premarket reviews or certifications are required, our business could be negatively impacted if we are required to stop selling our products pending their clearance, approval or certification. In addition, the launch of any new products that we develop or modifications we make to existing products could be delayed by the implementation of FDA or foreign regulations. The cost of complying with premarket review or certification requirements, including obtaining clinical data, could be significant. In addition, any future regulation by the FDA or foreign authorities could subject our business to further regulatory risks and costs. For example, our sample collection kits are listed as Class I devices with the FDA. If the FDA were to determine that they are not Class I devices or otherwise not exempt from 510(k) clearance requirements, we would be required to file 510(k) premarket notifications and obtain FDA clearance to use the containers, which could be time consuming and expensive.</w:t>
      </w:r>
    </w:p>
    <w:p>
      <w:pPr>
        <w:spacing w:after="0" w:line="214"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 FDA has raised potential concerns where companies manufacture and label finished clinical test kits or clinical testing components as “research use only”, or RUO, or “investigational use only”, or IUO, and either knowingly use them or sell them for use in patient care. The FDA has taken the position that if evidence demonstrates that a product which otherwise meets the definition of a regulated medical device is inappropriately labeled as RUO or IUO, the distribution, sale, or use of the product could violate the misbranding or adulteration provisions of the FDC Act. In the EU, under the IVDD, RUO products which are intended to be used for research purposes, without any medical objective, are not regarded as devices for performance evaluation used in diagnostic procedures. More importantly, the IVDR expressly provides that products intended for RUO are excluded from the scope of the regulation. A material intended for RUO, without any medical purpose or objective, is therefore not considered as an IVD medical device, or IVD MD, and is not subject to compliance with the IVD MDs requirements. Depending on the product in question, other regulations may be applicable to the RUO products. Some of the reagents,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instruments, software or components obtained by us from suppliers for use in our products are currently labeled by those suppliers as “RUO” or “IUO”. If the FDA or foreign bodies were to determine that any of these reagents, instruments, software or components are improperly labeled as RUO or IUO and undertake enforcement actions, some of our suppliers might cease selling these reagents, instruments, software or components to us or be forced to recall them,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 Such actions could also lead the FDA to investigate our purchase and use of supplier products and for the Agency to question whether or not Veracyte has violated the FDC Act.</w:t>
      </w:r>
    </w:p>
    <w:p>
      <w:pPr>
        <w:spacing w:after="0" w:line="213"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Failure to comply with applicable regulatory requirements of the FDA or foreign authorities could result in enforcement action, including receiving untitled or warning letters, fines, injunctions, or civil or criminal penalties. Any such enforcement action would have a material adverse effect on our business, financial condition and operations.</w:t>
      </w:r>
    </w:p>
    <w:p>
      <w:pPr>
        <w:spacing w:after="0" w:line="198"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Obtaining marketing authorization or certification by the FDA and foreign regulatory authorities or notified regulatory bodies for our diagnostic tests will take significant time and require significant research, development and clinical study expenditures and ultimately may not succeed.</w:t>
      </w:r>
    </w:p>
    <w:p>
      <w:pPr>
        <w:spacing w:after="0" w:line="186"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 xml:space="preserve">Before we begin to label and market some of our products for use as clinical diagnostics in the United States, unless an exemption applies, we are required to obtain clearance from the FDA by submitting a premarket notification under section 510(k) of the FDC Act or 510(k), or approval from the FDA by submitting a premarket approval, or PMA. Alternatively, we may be able to obtain marketing authorization through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process rather than through a PMA for class I or class II devices if the 510(k) pathway is not available. If the FDA finalizes the proposed rule to regulate LDTs as medical devices as it is currently drafted, we will need to obtain the appropriate marketing clearance, approval, or authorization for each or our tests that are currently offered as LDTs in accordance with the timelines provided in the final rule.</w:t>
      </w:r>
    </w:p>
    <w:p>
      <w:pPr>
        <w:spacing w:after="0" w:line="21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In September 2013, Prosigna was granted FDA 510(k) clearance as a prognostic indicator for distant recurrence-free survival at ten years in post-menopausal women with Stage I/II lymph node-negative or Stage II lymph node-positive (1-3 positive nodes), hormone receptor-positive breast cancer to be treated with adjuvant endocrine therapy alone, when used in conjunction with other clinicopathological factors after they have undergone surgery in conjunction with locoregional treatment and consistent with the standard of care.</w:t>
      </w:r>
    </w:p>
    <w:p>
      <w:pPr>
        <w:spacing w:after="0" w:line="207"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The FDA issued guidance titled "In Vitro Companion Diagnostic Devices" that defined an IVD companion diagnostic device as an in vitro diagnostic device that provides information that is essential for the safe and effective use of a corresponding therapeutic product. The use of an IVD companion diagnostic device with a therapeutic product is stipulated in the instructions for use in the labeling of both the diagnostic device and the corresponding therapeutic product, including the labeling of any generic equivalents of the therapeutic product. The FDA stated that an IVD companion diagnostic should be submitted for review and cleared or approved through an appropriate device submission contemporaneously with the review and approval of the therapeutic product to facilitate concurrent review. The FDA guidance also stated that while there may be cases when a companion diagnostic could come to market through the 510(k) pathway, the FDA expects that most companion diagnostics will be Class III devices. An IVD diagnostic device that is not a companion diagnostic device, because it is not essential for the safe and effective use of a corresponding therapeutic product, may still be beneficial for use with a therapeutic product, but may not be identified in the labeling of the therapeutic product. It is possible that revenue from a cleared or approved beneficial or complementary IVD diagnostic device may be less than revenue from a cleared or approved IVD companion diagnostic device.</w:t>
      </w:r>
    </w:p>
    <w:p>
      <w:pPr>
        <w:spacing w:after="0" w:line="21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FDA issued another draft guidance in December 2018 specific to oncology companion diagnostic tests, which it finalized in April 2020. The guidance explained that some oncology companion diagnostic tests can be developed in a way that results in labeling for a specific group of oncology therapeutic products, rather than a single therapeutic product. However, there is no assurance that we would be able to obtain clearance or approval for any of our diagnostic devices in development as a companion diagnostic device or that any such clearance or approval will occur without significant delay.</w:t>
      </w:r>
    </w:p>
    <w:p>
      <w:pPr>
        <w:spacing w:after="0" w:line="20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Any medical device product for which we obtain marketing authorization, including any tests that are currently offered as LDTs, would be subject to regulatory requirements that would affect how we are able to market and sell the device. The FDC Act and FDA regulations place considerable requirements on medical devices, including, but not limited to, compliance with the quality system regulation, or QSR, establishment registration and product listing with the FDA, and compliance with labeling, marketing, complaint handling, medical device reporting requirements, and reporting certain corrections and removals. If the FDA finalizes its proposed rule to regulate LDTs as medical devices as it is currently drafted, these regulatory requirements will become applicable to our tests that are currently offered as LDTs in stages, including any applicable premarket approval, clearance, or authorization requirements. Obtaining FDA clearance or approval for diagnostics can be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expensive and uncertain, generally may take several months to several years, and generally requires detailed and comprehensive scientific and clinical data, as well as compliance with FDA regulations for investigational devices. In addition, we have limited experience in obtaining PMA approval, 510(k) clearance, or De Novo authorization from the FDA and are therefore supplementing our operational capabilities to manage the more complex processes needed to obtain and maintain marketing authorization. Notwithstanding the expense, these efforts may never result in FDA clearance or approval. Even if we were to obtain marketing authorization, it may not be for the uses we believe are important or commercially attractive, in which case we would not market our product for those uses.</w:t>
      </w:r>
    </w:p>
    <w:p>
      <w:pPr>
        <w:spacing w:after="0" w:line="212"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Sales of our diagnostic tests outside the United States are subject to foreign regulatory requirements governing clinical studies, vigilance reporting, marketing approval, manufacturing, regulatory inspections, product licensing, pricing and reimbursement. These regulatory requirements vary greatly from country to country. As a result, the time required to obtain approvals or certifications outside the United States may differ from that required to obtain FDA marketing authorization, and we may not be able to obtain foreign regulatory approvals on a timely basis or at all. Marketing authorization from the FDA does not ensure approval or certification by regulatory authorities in other countries, and approval or certification by any foreign regulatory authority does not ensure marketing authorization or certifications by regulatory authorities in other countries or by the FDA. Foreign regulatory authorities could require additional testing beyond what the FDA requires. In addition, the FDC Act imposes requirements on the export of medical devices, such as labeling requirements, and foreign governments impose requirements on the import of medical devices from the United States. Failure to comply with these regulatory requirements or to obtain required approvals, clearances, and export certifications could impair our ability to commercialize our diagnostic products outside of the United States.</w:t>
      </w:r>
    </w:p>
    <w:p>
      <w:pPr>
        <w:spacing w:after="0" w:line="219"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For instance, in order to sell some of our products in the EU, those products must comply with the General Safety and Performance Requirements of the IVDR. Compliance with these requirements is a prerequisite to place IVD products on the EU market. All medical devices placed on the market in the EU must meet the General Safety and Performance Requirements laid down in Annex I to the IVDR, including the requirement that an IVD MD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To demonstrate compliance with the General Safety and Performance Requirements we must undergo a conformity assessment procedure, which varies according to the type of medical device and its (risk) classification. As a general rule, demonstration of conformity of IVD MDs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w:t>
      </w:r>
    </w:p>
    <w:p>
      <w:pPr>
        <w:spacing w:after="0" w:line="21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EU regulatory landscape concerning medical devices has significantly changed, and the new IVDR governing IVD MDs became applicable on May 26, 2022 (subject to certain transitional provisions meaning that were such transitional provisions apply, the products can continue to be placed on the market under the IVDD for a certain period of time). The new requirements in the IVDR have a significant effect on the way we conduct our business in the EU and the EEA. In particularly, substantially more IVDs require the involvement of a notified body to be able to affix a CE Mark to the product, which may lead to delay in being able to place such products on the market.</w:t>
      </w:r>
    </w:p>
    <w:p>
      <w:pPr>
        <w:spacing w:after="0" w:line="212"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On April 5, 2017, the IVDR was adopted to establish a modernized and more robust EU legislative framework, with the aim of ensuring better protection of public health and patient safety. Unlike directives, the IVDR does not need to be transposed into national law and therefore reduces the risk of discrepancies in interpretation across the different European markets. The IVDR increases the regulatory requirements applicable to IVD MDs in the EU and would require that we re-classify and obtain new certificates of conformity for our existing CE-marked IVD MDs by May 25, 2022, unless a transitional provision applies to the product, meaning that where such transitional provisions apply, the products can continue to be placed on the market under the IVDD for a certain period of time. For most IVD MDs, the manufacturer used to self-declare the conformity of its products with the essential requirements of the IVDD. Under the IVDR, the majority of IVD MDs require now the intervention of a notified body for conformity assessment. Notified bodies are independent organizations designated by EU member states to assess the conformity of devices before being placed on the market. The notified body audits and examines the product’s technical documentation and the manufacturer’s quality system. If satisfied that the relevant product conforms to the General Safety and Performance Requirements, the notified body issues a certificate of conformity. The manufacturer may then apply the CE Mark to the device, which allows the device to be placed on the market throughout the EU. If we fail to remain in compliance with applicable EU laws and directives, we would be unable to continue to affix the CE mark to our products, which would prevent us from selling them within the EU and European Economic Area, or EEA (which consists of the 27 EU member states plus Norway, Liechtenstein and Iceland).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399"/>
        <w:spacing w:after="0" w:line="266" w:lineRule="auto"/>
        <w:rPr>
          <w:sz w:val="20"/>
          <w:szCs w:val="20"/>
          <w:color w:val="auto"/>
        </w:rPr>
      </w:pPr>
      <w:r>
        <w:rPr>
          <w:rFonts w:ascii="Times New Roman" w:cs="Times New Roman" w:eastAsia="Times New Roman" w:hAnsi="Times New Roman"/>
          <w:sz w:val="17"/>
          <w:szCs w:val="17"/>
          <w:color w:val="auto"/>
        </w:rPr>
        <w:t>The IVDR will not be implemented in Great Britain, and since January 1, 2021, the Medicines and Healthcare products Regulatory Agency, or MHRA, has become the sovereign regulatory authority responsible for the Great Britain (i.e., England, Wales and Scotland) medical device market according to the requirements provided in the Medical Devices Regulations 2002 (SI 2002 No 618, as amended). The UK regulation implemented the three pre-existing EU directives, including the IVDD. Following the end of the Brexit transitional period on January 1, 2021, new regulations require medical devices to be registered with the MHRA before being placed on the Great Britain market. The MHRA only registers devices where the manufacturer or their United Kingdom, or UK, Responsible Person has a registered place of business in the UK. Manufacturers based outside the UK need to appoint a UK Responsible Person that has a registered place of business in the UK to register devices with the MHRA. Additionally, in Great Britain, all medical devices will require a UK Conformity Assessed, or UKCA, mark but CE marks (IVDD self-certified or IVDR issued by EU notified regulatory bodies, subject to validity of the certificate in the EU) will remain valid until June 30, 2030. Manufacturers may choose to use the UKCA mark on a voluntary basis until June 30, 2030.</w:t>
      </w:r>
    </w:p>
    <w:p>
      <w:pPr>
        <w:spacing w:after="0" w:line="204"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For the time being, the regulatory regime for medical devices and IVD MDs in Great Britain (England, Scotland and Wales) continues to be based on the requirements derived from current EU legislation. An MHRA public consultation was opened until end of November 2021 on the post-Brexit regulatory framework for medical devices and diagnostics. The MHRA seeks to amend the UK Medical Devices Regulations 2002, in particular to create a new access pathway to support innovation, create an innovative framework for regulating software and artificial intelligence as medical devices, reform IVD MD regulation, and foster sustainability through the reuse and remanufacture of medical devices. For IVD medical devices, the regime is expected to come into force in July 2030, coinciding with the end of the acceptance period for EU CE marks in Great Britain, subject to appropriate transitional arrangements. The consultation indicated that the MHRA will publish guidance in relation to the changes to the regulatory framework and may rely more heavily on guidance to add flexibility to the regime.</w:t>
      </w:r>
    </w:p>
    <w:p>
      <w:pPr>
        <w:spacing w:after="0" w:line="216"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Subject to the outcome of the MHRA public consultation on the post-Brexit regulatory framework for medical devices and diagnostics, the UK may choose to retain regulatory flexibility or align with the EU Medical Devices Regulation and the IVDR going forward. EU CE markings will continue to be recognized in the UK, and certificates issued by EU-registered notified regulatory bodies will be valid in the UK, until June 30, 2030, subject to validity on the certificate. For medical devices, including IVD MDs, placed on the market in Great Britain after this period, the UKCA marking will be mandatory and subject to positive review and issuance of a certificate by an accredited Authorized Body. In contrast, UKCA marking and certificates issued by UK notified regulatory bodies are not yet recognized on the EU market.</w:t>
      </w:r>
    </w:p>
    <w:p>
      <w:pPr>
        <w:spacing w:after="0" w:line="21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 rules for placing medical devices on the Northern Ireland market differ from those in Great Britain, and the IVDR will apply in Northern Ireland. Under the terms of the Northern Ireland Protocol of the Withdrawal Agreement between the EU and UK, Northern Ireland follows EU rules on medical devices, including the IVDR when applicable. Therefore, devices marketed in Northern Ireland will require assessment according to the EU regulatory regime. Such assessment may be conducted by an EU notified body, in which case a CE mark is required before placing the device on the market in the EU or Northern Ireland. Alternatively, if a UK notified body conducts such assessment, a ‘UKNI’ mark is applied and the device may only be placed on the market in Northern Ireland and not the EU.</w:t>
      </w:r>
    </w:p>
    <w:p>
      <w:pPr>
        <w:spacing w:after="0" w:line="21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A mutual recognition agreement, or MRA, aligning IVD regulations between the European Union and Switzerland has officially expired following the In Vitro Diagnostic Medical Devices Regulation’s, or IVDR, May 26, 2022 date of application, impacting certification and authorized representation requirements for manufacturers. The Swiss government has issued its own Ordinance on In Vitro Diagnostic Medical Devices, or IvDO. The Swiss regulation aligns closely with the IVDR in terms of requirements for manufacturers, and follows the IVDR’s transitional timelines regarding compliance deadlines according to IVD risk classifications as well as designations of Swiss Authorized Representatives.</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These modifications may have an effect on the way we intend to conduct our business in these countries.</w:t>
      </w:r>
    </w:p>
    <w:p>
      <w:pPr>
        <w:spacing w:after="0" w:line="241" w:lineRule="exact"/>
        <w:rPr>
          <w:sz w:val="20"/>
          <w:szCs w:val="20"/>
          <w:color w:val="auto"/>
        </w:rPr>
      </w:pPr>
    </w:p>
    <w:p>
      <w:pPr>
        <w:jc w:val="both"/>
        <w:ind w:right="20"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marketing authorizations or certifications, approvals, clearances or certifications to market Prosigna or our other IVD assays or if regulatory limitations are placed on our diagnostic kit products, our business and growth will be harmed.</w:t>
      </w:r>
    </w:p>
    <w:p>
      <w:pPr>
        <w:spacing w:after="0" w:line="186"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FDA cleared the Prosigna test for marketing in the United States. Prosigna is CE marked which permits us to market the test in the EU and Prosigna received marketing authorizations in selected other jurisdictions. We intend to seek regulatory authorizations or certifications for Prosigna in other jurisdictions and, for IVD tests focused on other indications. We cannot guarantee that the regulatory authorization or certification for Prosigna or other tests will be granted or, if granted, will not be revoked, which could adversely impact our business, financial condition, and operations.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addition, pursuant to our collaborations with pharmaceutical companies for the development of companion diagnostic tests for use with their drugs, we are sometimes responsible for obtaining regulatory authorizations or certifications to use the companion diagnostic tests in clinical studies as well as the authorizations or certifications to sell the companion diagnostic tests following completion of such studies. Some of the compensation we expect to receive pursuant to these collaborations is based on the receipt of authorizations or certifications. Any failure to obtain authorizations or certifications for our diagnostic kits in a particular jurisdiction.</w:t>
      </w:r>
    </w:p>
    <w:p>
      <w:pPr>
        <w:spacing w:after="0" w:line="21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the EU, the IVDR has introduced a new classification system for companion diagnostics which are now specifically defined as a device which is essential for the safe and effective use of a corresponding medicinal product to: (a) identify, before and/or during treatment, patients who are most likely to benefit from the corresponding medicinal product; or (b) identify, before and/or during treatment, patients likely to be at increased risk of serious adverse reactions as a result of treatment with the corresponding medicinal product. Companion diagnostics have to undergo a conformity assessment by a notified body. Before it can issue a certificate of conformity, the notified body will have to seek a scientific opinion from the European Medicines Agency or the relevant national competent authority on the suitability of the companion diagnostic to the medicinal product concerned.</w:t>
      </w:r>
    </w:p>
    <w:p>
      <w:pPr>
        <w:spacing w:after="0" w:line="212" w:lineRule="exact"/>
        <w:rPr>
          <w:sz w:val="20"/>
          <w:szCs w:val="20"/>
          <w:color w:val="auto"/>
        </w:rPr>
      </w:pPr>
    </w:p>
    <w:p>
      <w:pPr>
        <w:jc w:val="both"/>
        <w:ind w:firstLine="399"/>
        <w:spacing w:after="0" w:line="270" w:lineRule="auto"/>
        <w:rPr>
          <w:sz w:val="20"/>
          <w:szCs w:val="20"/>
          <w:color w:val="auto"/>
        </w:rPr>
      </w:pPr>
      <w:r>
        <w:rPr>
          <w:rFonts w:ascii="Times New Roman" w:cs="Times New Roman" w:eastAsia="Times New Roman" w:hAnsi="Times New Roman"/>
          <w:sz w:val="17"/>
          <w:szCs w:val="17"/>
          <w:color w:val="auto"/>
        </w:rPr>
        <w:t>We are dependent on third party platform and technology providers to maintain their platforms and technology in accordance with the requirements of applicable regulatory bodies. We cannot assure investors that we will be successful in obtaining or maintaining regulatory clearances, certifications, approvals, or marketing authorizations of our existing or future tests or technology, including nCounter. If we do not obtain or maintain regulatory clearances, certifications, approvals, or marketing authorizations for existing or future diagnostic kit products or technology, or expand future indications for diagnostic purposes, if additional regulatory limitations are placed on our diagnostic kit products or if we fail to successfully commercialize such products, the market potential for our diagnostic kit products would be constrained, and our business and growth prospects related to our IVD strategy would be adversely affected.</w:t>
      </w:r>
    </w:p>
    <w:p>
      <w:pPr>
        <w:spacing w:after="0" w:line="192"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ongoing and increasingly extensive regulatory requirements, which may be subject to change, and our failure to comply with these requirements could substantially harm our business.</w:t>
      </w:r>
    </w:p>
    <w:p>
      <w:pPr>
        <w:spacing w:after="0" w:line="186"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Certain of our products are regulated as IVD MDs, including Prosigna and the nCounter Analysis System. Accordingly, we and certain of our contract manufacturers are subject to ongoing International Organization for Standardization, or ISO, obligations as well as requirements under CLIA and state laboratory quality statutes and regulations, the FDC Act and related FDA regulations, and other statutory and regulatory requirements enforced by other government authorities. These may include routine inspections by notified bodies, the FDA, CMS, and other health authorities, of our manufacturing facilities and our records for compliance with standards such as ISO 13485 and the QSR, which establish extensive requirements for quality assurance and control as well as manufacturing and change control procedures, among other things. These inspections may include the manufacturing facilities of any suppliers. In the event that a supplier fails to maintain compliance with regulatory or our quality requirements, we may have to qualify a new supplier and could experience manufacturing delays as a result. We are also subject to other regulatory obligations, such as registration of our company offices and facilities and the listing of our devices with the FDA (and similar listings and certifications in certain other countries); continued adverse event and malfunction reporting; reporting certain corrections and removals; and labeling and promotional requirements.</w:t>
      </w:r>
    </w:p>
    <w:p>
      <w:pPr>
        <w:spacing w:after="0" w:line="219"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The IVDR increases the regulatory requirements applicable to in vitro diagnostics in the EU and would require that we re-classify and obtain new certificates of conformity for our existing CE-marked IVD products by May 25, 2022, unless a transitional provision applies to the product. Failure to secure these re-certifications in time will halt our ability to commercialize our products in relevant countries. Currently Prosigna for use on nCounter is our only product that will require recertification. Moreover, complying with the stricter regulatory requirements of the IVDR, including with respect to clinical evaluation requirements, quality systems, and post-market surveillance, may require us to incur significant expenditures. Failure to meet these requirements, or a failure or delay in our ability to recertify Prosigna for use on nCounter could adversely impact our business in the EU and EEA and other regions that tie their product registrations or regulations to the EU requirements.</w:t>
      </w:r>
    </w:p>
    <w:p>
      <w:pPr>
        <w:spacing w:after="0" w:line="213"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IVDR becomes applicable five years after publication on May 26, 2022 and once applicable to a particular product, the IVDR will among other things:</w:t>
      </w:r>
    </w:p>
    <w:p>
      <w:pPr>
        <w:spacing w:after="0" w:line="190" w:lineRule="exact"/>
        <w:rPr>
          <w:sz w:val="20"/>
          <w:szCs w:val="20"/>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the rules on placing devices on the market and reinforce surveillance once they are available;</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explicit provisions on manufacturers’ responsibilities for the follow-up of the quality, performance and safety of devices placed on the market;</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explicit provisions on importers’ and distributors’ obligations and responsibilities;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hanging="315"/>
        <w:spacing w:after="0" w:line="275"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an obligation to identify a responsible person who is ultimately responsible for all aspects of compliance with the requirements of the new regulation;</w:t>
      </w:r>
    </w:p>
    <w:p>
      <w:pPr>
        <w:spacing w:after="0" w:line="4"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spacing w:after="0" w:line="16"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up a central database (Eudamed) to provide patients, healthcare professionals and the public with comprehensive information on products available in the EU;</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recourse for damage caused by a defective device; and</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rules for the assessment of certain high-risk devices that may have to undergo an additional check by experts before they are placed on the market.</w:t>
      </w:r>
    </w:p>
    <w:p>
      <w:pPr>
        <w:spacing w:after="0" w:line="19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Other regulatory bodies may also issue guidelines and regulations that could impact the development of our products, including companion diagnostic tests. For example, the European Medicines Agency recently launched an initiative to determine guidelines for the use of genomic biomarkers in the development and lifecycle of drugs. The guidelines may impose greater requirements for demonstrating the clinical validity and utility of our biomarker-based tests and may interfere with our ability to develop companion diagnostics or otherwise obtain or maintain marketing authorization or certifications for our diagnostic tests.</w:t>
      </w:r>
    </w:p>
    <w:p>
      <w:pPr>
        <w:spacing w:after="0" w:line="212"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We may also be subject to additional FDA or foreign regulatory authority post-marketing obligations or requirements by the FDA or foreign regulatory authority to change our current product classifications which would impose additional regulatory obligations on us. For example, the FDA has recently finalized a rule to revise the QSR to more closely align with ISO 13485:2016 but that also includes proposed clarifications and additional definitions and requirements. The promotional claims we can make for Prosigna in the United States are limited to the indications for use as cleared by the FDA or outside the United States as authorized or certified by the applicable regulatory authority. If we are not able to maintain regulatory compliance, we may not be permitted to market our medical device products and/or may be subject to enforcement actions by the FDA or other governmental authorities such as the issuance of warning or untitled letters, fines, injunctions, and civil penalties; recall or seizure of products; operating restrictions; and criminal prosecution. In addition, we may be subject to similar regulatory regimes of foreign jurisdictions as we continue to commercialize our products in new markets outside of the United States and Europe. Adverse notified body, EU competent authority or the FDA or global regulatory authority action in any of these areas could significantly increase our expenses and limit our revenue and profitability.</w:t>
      </w:r>
    </w:p>
    <w:p>
      <w:pPr>
        <w:spacing w:after="0" w:line="2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compete successfully, we may be unable to increase or sustain our revenue and profitability.</w:t>
      </w:r>
    </w:p>
    <w:p>
      <w:pPr>
        <w:spacing w:after="0" w:line="249"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We operate in a highly competitive market. Our Decipher Prostate test faces competition from Myriad Genetics and MDx Health, which offer genomic testing for prognostic purposes within localized prostate cancer, as well as from Artera which offers prognostic and predictive tests for localized prostate cancer. Additionally, traditional methods used by pathologists and clinicians to estimate risk of disease progression pose competitive threats to our business in addition to new technologies such as artificial intelligence, or AI, and digital pathology. In bladder cancer, we are not currently aware of a direct competitor offering genomic testing for prognostic purposes that matches the intended use population for the Decipher Bladder test. However, DNA mutational analysis and traditional clinical methods and nomograms are currently in use by physicians for similar purposes.</w:t>
      </w:r>
    </w:p>
    <w:p>
      <w:pPr>
        <w:spacing w:after="0" w:line="21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For our Afirma genomic classifier we face competition from companies and academic institutions that use NGS technology or other methods to measure mutational markers such as BRAF and KRAS, along with numerous other mutations. These organizations include Interpace Diagnostics Group, Inc., CBLPath, Inc./University of Pittsburgh Medical Center and others who are developing new products or technologies that may compete with our tests. In the future, we may also face competition from companies developing new products or technologies.</w:t>
      </w:r>
    </w:p>
    <w:p>
      <w:pPr>
        <w:spacing w:after="0" w:line="20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believe our primary competition in pulmonology with our Envisia classifiers will similarly come from traditional methods used by physicians to diagnose the related diseases. For the Percepta Nasal Swab test, we expect competition from companies focused on lung cancer such as Biodesix, Inc. We believe our principal competitor in the breast cancer diagnostics market is Exact Sciences, Inc., which currently commands a substantial majority of the market. Other competitors in the breast cancer diagnostics market include Myriad Genetics, Inc. and Agendia, Inc.</w:t>
      </w:r>
    </w:p>
    <w:p>
      <w:pPr>
        <w:spacing w:after="0" w:line="20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As we expand our portfolio of tests, including into the MRD space, we may also face competition from companies informing treatment decisions such as Natera, Guardant Health, Exact Sciences, Personalis, Myriad, Neogenomics, Quest or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LabCorp. Competition could also emerge using alternative samples, such as blood, urine or sputum, as well as tumor naive approaches.</w:t>
      </w:r>
    </w:p>
    <w:p>
      <w:pPr>
        <w:spacing w:after="0" w:line="245"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general, we also face competition from commercial laboratories, such as Laboratory Corporation of America Holdings, Quest Diagnostics, and Sonic Healthcare USA, with strong infrastructure to support the commercialization of diagnostic services. We face potential competition from companies such as Thermo Fisher Scientific Inc., which has entered the clinical diagnostics market. Other potential competitors include companies that develop diagnostic products, such as Roche Diagnostics, a division of Roche Holding Ltd, Siemens AG and Qiagen N.V., and we also may face competition from competitors of our biopharma services such as CARIS, Neogenomics, Flagship Bioscience, TempusAI, Guardant, Indivumed, and CellCerta.</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20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90"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sustain profitability. If we are unable to change clinical practice in a meaningful way or compete successfully against current and future competitors, we may be unable to increase market acceptance and sales of our products, which could prevent us from increasing our revenue or sustaining profitability and could cause the market price of our common stock to decline. As we add new tests, products and services, we will face many of these same competitive risks.</w:t>
      </w:r>
    </w:p>
    <w:p>
      <w:pPr>
        <w:spacing w:after="0" w:line="196" w:lineRule="exact"/>
        <w:rPr>
          <w:sz w:val="20"/>
          <w:szCs w:val="20"/>
          <w:color w:val="auto"/>
        </w:rPr>
      </w:pPr>
    </w:p>
    <w:p>
      <w:pPr>
        <w:jc w:val="both"/>
        <w:ind w:firstLine="128"/>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of our executive officers, or any inability to attract and retain highly-skilled employees and other key personnel, could adversely affect our business.</w:t>
      </w:r>
    </w:p>
    <w:p>
      <w:pPr>
        <w:spacing w:after="0" w:line="20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success depends in part on the skills, experience and performance of members of our executive management team and others in key management positions. We have in the past and may in the future experience changes in our executive management, which may be disruptive to our business. Executive transitions may impact our ability to implement our business strategy and could have a material adverse effect on our business.</w:t>
      </w:r>
    </w:p>
    <w:p>
      <w:pPr>
        <w:spacing w:after="0" w:line="20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and the labor market in our industry is becoming increasingly competitive. Additionally, our success depends on our ability to attract and retain qualified salespeople.</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be successful in maintaining and growing our business. Additionally, as we increase our sales channels for new tests we commercialize, we may have difficulties recruiting and training additional sales personnel or retaining qualified salespeople, which could cause a delay or decline in the rate of adoption of our tests.</w:t>
      </w:r>
    </w:p>
    <w:p>
      <w:pPr>
        <w:spacing w:after="0" w:line="20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U.S. employees are at will, which means that either we or the employee may terminate their employment at any time. We do not carry key person insurance for any of our employees.</w:t>
      </w:r>
    </w:p>
    <w:p>
      <w:pPr>
        <w:spacing w:after="0" w:line="21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Finally, we rely, in part, on equity awards to compensate and incentivize our employees to drive our further growth. As the equity capital markets have been highly volatile in recent periods and the price of our common stock has declined, certain of our employees’ equity awards have lost some or all of their value, which may limit their effectiveness as retention tools and, in the event we fail to retain such employees, may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Billing for our diagnostic tests is complex, and we must dedicate substantial time and resources to the billing process in order to collect cash and be paid.</w:t>
      </w:r>
    </w:p>
    <w:p>
      <w:pPr>
        <w:spacing w:after="0" w:line="186"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Billing for clinical laboratory testing services is complex, time-consuming and expensive. Depending on the billing arrangement and applicable law, we bill various payers, including Medicare, commercial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accounts receivable and long collection cycles, which could adversely affect our business, results of operations and financial condition including cash collections. Furthermore, third-party payers may reduce or refuse to pay for our tests, with or without notice.</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Several factors make the billing process complex, including:</w:t>
      </w:r>
    </w:p>
    <w:p>
      <w:pPr>
        <w:spacing w:after="0" w:line="245" w:lineRule="exact"/>
        <w:rPr>
          <w:sz w:val="20"/>
          <w:szCs w:val="20"/>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 for our tests and the reimbursement rates of payers;</w:t>
      </w:r>
    </w:p>
    <w:p>
      <w:pPr>
        <w:spacing w:after="0" w:line="245"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payers, such as Medicare and Medicaid, including requirements to have an active CLIA certificate;</w:t>
      </w:r>
    </w:p>
    <w:p>
      <w:pPr>
        <w:spacing w:after="0" w:line="190"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government audits related to billing Medicare and other government payers;</w:t>
      </w:r>
    </w:p>
    <w:p>
      <w:pPr>
        <w:spacing w:after="0" w:line="2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among payers as to which party is responsible for payment;</w:t>
      </w:r>
    </w:p>
    <w:p>
      <w:pPr>
        <w:spacing w:after="0" w:line="245"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and in information and billing requirements among payers, including the need for prior authorization and/or advanced notification;</w:t>
      </w:r>
    </w:p>
    <w:p>
      <w:pPr>
        <w:spacing w:after="0" w:line="190"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patient co-payments or co-insurance;</w:t>
      </w:r>
    </w:p>
    <w:p>
      <w:pPr>
        <w:spacing w:after="0" w:line="2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payers may argue technical contract noncompliance and withhold payment;</w:t>
      </w:r>
    </w:p>
    <w:p>
      <w:pPr>
        <w:spacing w:after="0" w:line="2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billing codes used for our tests;</w:t>
      </w:r>
    </w:p>
    <w:p>
      <w:pPr>
        <w:spacing w:after="0" w:line="2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2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claims appeals process.</w:t>
      </w:r>
    </w:p>
    <w:p>
      <w:pPr>
        <w:spacing w:after="0" w:line="245"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use standard industry billing codes, known as CPT codes, to bill for our tests, including cytopathology. Through December 31, 2020, we used the CPT code 81545 to bill for our Afirma classifier. Effective January 1, 2021, we began using the new CPT code 81546 to bill for our Afirma classifier, and code 81545 was retired. Effective January 1, 2020, we began using CPT code 81542 to bill for Decipher Prostate tests. Effective January 1, 2021, we began using the new CPT code 81554 to bill for our Envisia classifier. Effective October 1, 2020, we began using CPT code 0016M to bill for our Decipher Bladder test.</w:t>
      </w:r>
    </w:p>
    <w:p>
      <w:pPr>
        <w:spacing w:after="0" w:line="21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CPT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total revenue. Even when we receive a designated CPT code specific to our tests,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spacing w:after="0" w:line="21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9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Correct coding is subject to the coding policies of the American Medical Association CPT Editorial Panel, or AMA CPT. With respect to claims submitted to Medicare and Medicaid, it is also subject to coding policies developed through the National Correct Coding Initiative, or NCCI. Other payers may develop their own payer-specific coding policies. The broader coding policies of the AMA CPT, NCCI, and other payers are subject to change. For instance, the NCCI adopted an update to its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Coding Policy Manual effective January 1, 2019, to limit instances when multiple codes may be billed for molecular pathology testing. Although the NCCI appears to have moderated this change in its subsequent updates, such coding policy changes may negatively affect our total revenue and cash flow.</w:t>
      </w:r>
    </w:p>
    <w:p>
      <w:pPr>
        <w:spacing w:after="0" w:line="190" w:lineRule="exact"/>
        <w:rPr>
          <w:sz w:val="20"/>
          <w:szCs w:val="20"/>
          <w:color w:val="auto"/>
        </w:rPr>
      </w:pPr>
    </w:p>
    <w:p>
      <w:pPr>
        <w:jc w:val="both"/>
        <w:ind w:firstLine="399"/>
        <w:spacing w:after="0" w:line="267" w:lineRule="auto"/>
        <w:rPr>
          <w:sz w:val="20"/>
          <w:szCs w:val="20"/>
          <w:color w:val="auto"/>
        </w:rPr>
      </w:pPr>
      <w:r>
        <w:rPr>
          <w:rFonts w:ascii="Times New Roman" w:cs="Times New Roman" w:eastAsia="Times New Roman" w:hAnsi="Times New Roman"/>
          <w:sz w:val="17"/>
          <w:szCs w:val="17"/>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adds further complexity to the billing process. If the payer makes an overpayment determination, there is a risk that we may be required to return some portion of prior payments we have received. Additionally, the ACA established a requirement for providers and suppliers to report and return any overpayments received from government payers under the Medicare and Medicaid programs within 60 days of identification. Failure to identify and return such overpayments exposes the provider or supplier to liability under federal false claims laws. These billing complexities, and the related uncertainty in obtaining payment for our tests, could negatively affect our revenue and cash flow, our ability to sustain profitability, and the consistency and comparability of our results of operations.</w:t>
      </w:r>
    </w:p>
    <w:p>
      <w:pPr>
        <w:spacing w:after="0" w:line="1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rely on a third-party provider to transmit claims to payers, and any delay in transmitting claims could have an adverse effect on our revenue.</w:t>
      </w:r>
    </w:p>
    <w:p>
      <w:pPr>
        <w:spacing w:after="0" w:line="249" w:lineRule="exact"/>
        <w:rPr>
          <w:sz w:val="20"/>
          <w:szCs w:val="20"/>
          <w:color w:val="auto"/>
        </w:rPr>
      </w:pPr>
    </w:p>
    <w:p>
      <w:pPr>
        <w:jc w:val="both"/>
        <w:ind w:firstLine="399"/>
        <w:spacing w:after="0" w:line="270" w:lineRule="auto"/>
        <w:rPr>
          <w:sz w:val="20"/>
          <w:szCs w:val="20"/>
          <w:color w:val="auto"/>
        </w:rPr>
      </w:pPr>
      <w:r>
        <w:rPr>
          <w:rFonts w:ascii="Times New Roman" w:cs="Times New Roman" w:eastAsia="Times New Roman" w:hAnsi="Times New Roman"/>
          <w:sz w:val="17"/>
          <w:szCs w:val="17"/>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192" w:lineRule="exact"/>
        <w:rPr>
          <w:sz w:val="20"/>
          <w:szCs w:val="20"/>
          <w:color w:val="auto"/>
        </w:rPr>
      </w:pPr>
    </w:p>
    <w:p>
      <w:pPr>
        <w:jc w:val="both"/>
        <w:ind w:firstLine="12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our internal sales force is less successful than anticipated, our business expansion plans could suffer and our ability to generate revenue could be diminished. In addition, we have limited history selling our molecular diagnostics tests on a direct basis and our limited history makes forecasting difficult.</w:t>
      </w:r>
    </w:p>
    <w:p>
      <w:pPr>
        <w:spacing w:after="0" w:line="201" w:lineRule="exact"/>
        <w:rPr>
          <w:sz w:val="20"/>
          <w:szCs w:val="20"/>
          <w:color w:val="auto"/>
        </w:rPr>
      </w:pPr>
    </w:p>
    <w:p>
      <w:pPr>
        <w:jc w:val="both"/>
        <w:ind w:firstLine="402"/>
        <w:spacing w:after="0" w:line="252" w:lineRule="auto"/>
        <w:rPr>
          <w:sz w:val="20"/>
          <w:szCs w:val="20"/>
          <w:color w:val="auto"/>
        </w:rPr>
      </w:pPr>
      <w:r>
        <w:rPr>
          <w:rFonts w:ascii="Times New Roman" w:cs="Times New Roman" w:eastAsia="Times New Roman" w:hAnsi="Times New Roman"/>
          <w:sz w:val="18"/>
          <w:szCs w:val="18"/>
          <w:color w:val="auto"/>
        </w:rPr>
        <w:t>If our internal sales force is not successful or new additions to our sales team fail to gain traction among our customers, we may not be able to increase market awareness and sales of our molecular diagnostic tests and products. If we fail to establish our molecular diagnostic tests and products in the marketplace, it could have a negative effect on our ability to sell subsequent molecular diagnostic tests and products, thereby hindering the desired expansion of our business. We have growing, however limited, historical experience forecasting the direct sales of our molecular diagnostics tests and products. Our ability to produce total test volumes that meet customer demand is dependent upon our ability to forecast accurately and plan production capacities accordingly.</w:t>
      </w:r>
    </w:p>
    <w:p>
      <w:pPr>
        <w:spacing w:after="0" w:line="208" w:lineRule="exact"/>
        <w:rPr>
          <w:sz w:val="20"/>
          <w:szCs w:val="20"/>
          <w:color w:val="auto"/>
        </w:rPr>
      </w:pPr>
    </w:p>
    <w:p>
      <w:pPr>
        <w:ind w:right="180" w:firstLine="128"/>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Developing new products involves a lengthy and complex process, and if we do not achieve our projected development and commercialization goals in the timeframes we announce and expect, our business will suffer and our stock price may decline.</w:t>
      </w:r>
    </w:p>
    <w:p>
      <w:pPr>
        <w:spacing w:after="0" w:line="20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From time to time, we expect to estimate and publicly announce the anticipated timing of the accomplishment of various clinical and other product development goals. The actual timing of accomplishment of these targets could vary dramatically compared to our estimates, in some cases for reasons beyond our control. We cannot be certain that we will meet our projected targets and if we do not meet these as publicly announced, the commercialization of our tests may be delayed or may not occur at all and, as a result, our business will suffer and our stock price may decline.</w:t>
      </w:r>
    </w:p>
    <w:p>
      <w:pPr>
        <w:spacing w:after="0" w:line="20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We continually seek to develop enhancements to our test offerings and additional diagnostic tests that requires us to devote considerable resources to research and development. We may face challenges obtaining sufficient numbers of samples to validate a genomic signature for our products. We must provide sufficient clinical and analytical validity, as well as clinical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utility studies that meet individual payer evidence requirements to obtain reimbursement. Even after launching new products, we must complete additional studies that meet the clinical evidence required by individual payers to obtain reimbursement.</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order to develop and commercialize diagnostic tests to be run in our CLIA lab, we need to:</w:t>
      </w:r>
    </w:p>
    <w:p>
      <w:pPr>
        <w:spacing w:after="0" w:line="245" w:lineRule="exact"/>
        <w:rPr>
          <w:sz w:val="20"/>
          <w:szCs w:val="20"/>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funds to conduct substantial research and development;</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successful analytical and clinical studies;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our laboratory processes to accommodate new tests; and</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the commercial, regulatory, and compliance infrastructure to market and sell new products.</w:t>
      </w:r>
    </w:p>
    <w:p>
      <w:pPr>
        <w:spacing w:after="0" w:line="245"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Our product development process involves a high degree of risk and may take several years. Our test and product development efforts may fail for many reasons, including:</w:t>
      </w:r>
    </w:p>
    <w:p>
      <w:pPr>
        <w:spacing w:after="0" w:line="190" w:lineRule="exact"/>
        <w:rPr>
          <w:sz w:val="20"/>
          <w:szCs w:val="20"/>
          <w:color w:val="auto"/>
        </w:rPr>
      </w:pPr>
    </w:p>
    <w:p>
      <w:pPr>
        <w:ind w:left="640" w:hanging="315"/>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a genomic signature in biomarker discovery;</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secure sufficient numbers of samples at an acceptable cost and on an acceptable timeframe to conduct analytical and clinical studies; or</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validation or clinical utility studies to support the effectiveness of the test.</w:t>
      </w:r>
    </w:p>
    <w:p>
      <w:pPr>
        <w:spacing w:after="0" w:line="245"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If a clinical utility study fails to demonstrate the value of a particular test, we may not be able to obtain reimbursement for the test. In addition, competitors may develop and commercialize competing products or technologies faster than us or at a lower cost.</w:t>
      </w:r>
    </w:p>
    <w:p>
      <w:pPr>
        <w:spacing w:after="0" w:line="209" w:lineRule="exact"/>
        <w:rPr>
          <w:sz w:val="20"/>
          <w:szCs w:val="20"/>
          <w:color w:val="auto"/>
        </w:rPr>
      </w:pPr>
    </w:p>
    <w:p>
      <w:pPr>
        <w:jc w:val="both"/>
        <w:ind w:right="20"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86"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208"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86"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currently include, among others:</w:t>
      </w:r>
    </w:p>
    <w:p>
      <w:pPr>
        <w:spacing w:after="0" w:line="190" w:lineRule="exact"/>
        <w:rPr>
          <w:sz w:val="20"/>
          <w:szCs w:val="20"/>
          <w:color w:val="auto"/>
        </w:rPr>
      </w:pPr>
    </w:p>
    <w:p>
      <w:pPr>
        <w:jc w:val="both"/>
        <w:ind w:left="640" w:hanging="315"/>
        <w:spacing w:after="0" w:line="253"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to those standards in 2013 pursuant to the Health Information Technology for Economic and Clinical Health Act, or HITECH Act, which strengthened and expanded HIPAA privacy and security compliance requirements, increased penalties for violators, extended enforcement authority to state attorneys general, and imposed new requirements for breach notification;</w:t>
      </w:r>
    </w:p>
    <w:p>
      <w:pPr>
        <w:spacing w:after="0" w:line="21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billing and payment regulations applicable to clinical laboratories, including requirements to have an active CLIA certificate;</w:t>
      </w:r>
    </w:p>
    <w:p>
      <w:pPr>
        <w:spacing w:after="0" w:line="245"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640" w:hanging="315"/>
        <w:spacing w:after="0" w:line="261"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of 2018, which prohibits the solicitation, receipt, payment or offering of any remuneration in return for referring a patient or patronage to a recovery home, clinical treatment facility, or laboratory for services covered by both government and private payers;</w:t>
      </w:r>
    </w:p>
    <w:p>
      <w:pPr>
        <w:spacing w:after="0" w:line="202" w:lineRule="exact"/>
        <w:rPr>
          <w:rFonts w:ascii="Times New Roman" w:cs="Times New Roman" w:eastAsia="Times New Roman" w:hAnsi="Times New Roman"/>
          <w:sz w:val="18"/>
          <w:szCs w:val="18"/>
          <w:color w:val="auto"/>
        </w:rPr>
      </w:pPr>
    </w:p>
    <w:p>
      <w:pPr>
        <w:jc w:val="both"/>
        <w:ind w:left="640" w:hanging="315"/>
        <w:spacing w:after="0" w:line="256"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207"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202"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imposes liability on any person or entity who knowingly presents, or causes to be presented, a false, fictitious, or fraudulent claim for payment to the federal government;</w:t>
      </w:r>
    </w:p>
    <w:p>
      <w:pPr>
        <w:spacing w:after="0" w:line="190" w:lineRule="exact"/>
        <w:rPr>
          <w:rFonts w:ascii="Times New Roman" w:cs="Times New Roman" w:eastAsia="Times New Roman" w:hAnsi="Times New Roman"/>
          <w:sz w:val="18"/>
          <w:szCs w:val="18"/>
          <w:color w:val="auto"/>
        </w:rPr>
      </w:pPr>
    </w:p>
    <w:p>
      <w:pPr>
        <w:jc w:val="both"/>
        <w:ind w:left="640" w:hanging="315"/>
        <w:spacing w:after="0" w:line="256"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enacted as part of the ACA, which imposes annual reporting requirements on manufacturers of certain devices, drugs and biologics for certain payments and transfers of value by them and in some cases their distributors to covered recipients, including physicians, as defined by such law, teaching hospitals, and certain healthcare providers as well as ownership or investment interests that physicians or physicians’ immediate family members hold with the reporting entity;</w:t>
      </w:r>
    </w:p>
    <w:p>
      <w:pPr>
        <w:spacing w:after="0" w:line="207"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202"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reassignment of Medicare claims, which, subject to certain exceptions, precludes the reassignment of Medicare claims to any other party;</w:t>
      </w:r>
    </w:p>
    <w:p>
      <w:pPr>
        <w:spacing w:after="0" w:line="190"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Protecting Access to Medicare Act of 2014, which requires us to report private payer rates and test volumes for specific CPT codes on a triennial basis and imposes penalties for failures to report, omissions, or misrepresentations;</w:t>
      </w:r>
    </w:p>
    <w:p>
      <w:pPr>
        <w:spacing w:after="0" w:line="190"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 Surprises Act and its implementing regulations (effective January 1, 2022), which prohibit an out-of-network provider from billing a patient at an amount in excess of the in-network cost sharing for services furnished with respect to a visit at certain in-network health-care facilities, as well as various state laws restricting balance billing of patients;</w:t>
      </w:r>
    </w:p>
    <w:p>
      <w:pPr>
        <w:spacing w:after="0" w:line="202"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202"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spacing w:after="0" w:line="20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of 1977, and other similar laws, which apply to our international activities;</w:t>
      </w:r>
    </w:p>
    <w:p>
      <w:pPr>
        <w:spacing w:after="0" w:line="245"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unclaimed property (escheat) laws and regulations, which may require us to turn over to governmental authorities the property of others held by us that has been unclaimed for a specified period of time;</w:t>
      </w:r>
    </w:p>
    <w:p>
      <w:pPr>
        <w:spacing w:after="0" w:line="190"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our intellectual property rights; and</w:t>
      </w:r>
    </w:p>
    <w:p>
      <w:pPr>
        <w:spacing w:after="0" w:line="2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laws and regulations equivalent to the above.</w:t>
      </w:r>
    </w:p>
    <w:p>
      <w:pPr>
        <w:spacing w:after="0" w:line="245"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sales organization and our expansion outside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spacing w:after="0" w:line="190"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health-care providers (including physicians and labs),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21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Many member states in the EU have adopted specific anti-gift statutes that further limit commercial practices for medical devices (including IVD MDs),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w:t>
      </w:r>
    </w:p>
    <w:p>
      <w:pPr>
        <w:spacing w:after="0" w:line="207"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These laws and regulations are complex and are subject to interpretation by the courts and by government agencies, and we cannot ensure that all our employees, agents, contractors, vendors, licensees, partners or collaborators will comply, or have historically complied, with all applicable laws and regulations.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use hazardous materials in a manner that causes contamination or injury, we could be liable for resulting damages.</w:t>
      </w:r>
    </w:p>
    <w:p>
      <w:pPr>
        <w:spacing w:after="0" w:line="249"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must successfully integrate acquired businesses to realize the financial goals that we currently anticipate.</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Risks we face in connection with the integration of C2i as well as the historical integrations of HalioDx and Decipher Biosciences include:</w:t>
      </w:r>
    </w:p>
    <w:p>
      <w:pPr>
        <w:spacing w:after="0" w:line="165" w:lineRule="exact"/>
        <w:rPr>
          <w:sz w:val="20"/>
          <w:szCs w:val="20"/>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difficulties managing acquired products and tests or retaining key personnel from the acquired businesses;</w:t>
      </w:r>
    </w:p>
    <w:p>
      <w:pPr>
        <w:spacing w:after="0" w:line="165" w:lineRule="exact"/>
        <w:rPr>
          <w:rFonts w:ascii="Times New Roman" w:cs="Times New Roman" w:eastAsia="Times New Roman" w:hAnsi="Times New Roman"/>
          <w:sz w:val="18"/>
          <w:szCs w:val="18"/>
          <w:color w:val="auto"/>
        </w:rPr>
      </w:pPr>
    </w:p>
    <w:p>
      <w:pPr>
        <w:jc w:val="both"/>
        <w:ind w:left="640" w:hanging="315"/>
        <w:spacing w:after="0" w:line="256"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integrate the acquired businesses as planned (including, for example, systems integration), there could be unanticipated adverse impacts on the acquired businesses, or we may otherwise not realize the expected return on our investments, which could adversely affect our business or operating results and potentially cause impairment to assets that we record as a part of an acquisition including intangible assets and goodwill;</w:t>
      </w:r>
    </w:p>
    <w:p>
      <w:pPr>
        <w:spacing w:after="0" w:line="127"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innovative technologies we acquire, including AI, presents risk and challenges, including flawed algorithms or insufficient or biased datasets, which could adversely impact the reliability of our data and subject us to delays and competitive harm, regulatory action, or legal liability, as well as brand or reputational harm;</w:t>
      </w:r>
    </w:p>
    <w:p>
      <w:pPr>
        <w:spacing w:after="0" w:line="122"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or financial condition may be adversely impacted by (i) claims or liabilities related to the acquired businesses including, among others, claims from U.S. or international regulatory or other governmental</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640"/>
        <w:spacing w:after="0" w:line="283" w:lineRule="auto"/>
        <w:rPr>
          <w:sz w:val="20"/>
          <w:szCs w:val="20"/>
          <w:color w:val="auto"/>
        </w:rPr>
      </w:pPr>
      <w:r>
        <w:rPr>
          <w:rFonts w:ascii="Times New Roman" w:cs="Times New Roman" w:eastAsia="Times New Roman" w:hAnsi="Times New Roman"/>
          <w:sz w:val="17"/>
          <w:szCs w:val="17"/>
          <w:color w:val="auto"/>
        </w:rPr>
        <w:t>agencies, terminated employees, current or former customers or business partners, or other third parties; (ii) pre-existing contractual relationships of the acquired businesses that we would not have otherwise entered into, the termination or modification of which may be costly or disruptive to our business; (iii) unfavorable accounting treatment as a result of the acquired businesses' practices; and (iv) intellectual property claims or disputes;</w:t>
      </w:r>
    </w:p>
    <w:p>
      <w:pPr>
        <w:spacing w:after="0" w:line="106" w:lineRule="exact"/>
        <w:rPr>
          <w:sz w:val="20"/>
          <w:szCs w:val="20"/>
          <w:color w:val="auto"/>
        </w:rPr>
      </w:pPr>
    </w:p>
    <w:p>
      <w:pPr>
        <w:jc w:val="both"/>
        <w:ind w:left="640" w:hanging="315"/>
        <w:spacing w:after="0" w:line="250"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acquisitions, none of HalioDx, Decipher Biosciences, or C2i were required to maintain an internal control infrastructure that would meet the standards of a public company, including the requirements of the Sarbanes-Oxley Act of 2002. Over the course of 2021 and 2022, we integrated the operations of HalioDx and Decipher Biosciences into our internal control structure and implemented additional internal controls where needed and, beginning in 2024, we began to integrate similar internal control structures for C2i. As we continue to integrate and improve the operations of HalioDx, Decipher Biosciences, and C2i, we may need to implement additional controls. The costs that we may incur to implement such controls and procedures may be substantial and we could encounter unexpected delays and challenges in this implementation. In addition, we may discover significant deficiencies or material weaknesses in the quality of HalioDx's, Decipher Biosciences', and C2i's respective financial and disclosure controls and procedures;</w:t>
      </w:r>
    </w:p>
    <w:p>
      <w:pPr>
        <w:spacing w:after="0" w:line="136"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a failure of development activities on behalf of a HalioDx customer where HalioDx bears development risk resulting in a refund of development fees;</w:t>
      </w:r>
    </w:p>
    <w:p>
      <w:pPr>
        <w:spacing w:after="0" w:line="110"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successfully manufacture the test kits for the nCounter from our manufacturing facility in Marseille, France, for a variety of reasons, including that we have and may continue to experience quality, regulatory or manufacturing irregularities and challenges in connection with the manufacturing transition from NanoString to our Marseille, France facility, such as sole supplier challenges;</w:t>
      </w:r>
    </w:p>
    <w:p>
      <w:pPr>
        <w:spacing w:after="0" w:line="122" w:lineRule="exact"/>
        <w:rPr>
          <w:rFonts w:ascii="Times New Roman" w:cs="Times New Roman" w:eastAsia="Times New Roman" w:hAnsi="Times New Roman"/>
          <w:sz w:val="18"/>
          <w:szCs w:val="18"/>
          <w:color w:val="auto"/>
        </w:rPr>
      </w:pPr>
    </w:p>
    <w:p>
      <w:pPr>
        <w:ind w:left="640" w:right="20" w:hanging="315"/>
        <w:spacing w:after="0" w:line="275"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disagreements, challenges, work stoppage, labor shortages, strikes or other labor unrest, and litigation associated with the French employee work council or French union;</w:t>
      </w:r>
    </w:p>
    <w:p>
      <w:pPr>
        <w:spacing w:after="0" w:line="110"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disruption in integrating key talent from the C2i Acquisition due to the ongoing conflict in the Middle East and related political, military and security conditions in and around Israel which may disrupt our Israel business activities, facilities, employees and access to electricity, gasoline, or water, as well as disrupt our ability to travel or conduct business in and out of the conflicted area; and</w:t>
      </w:r>
    </w:p>
    <w:p>
      <w:pPr>
        <w:spacing w:after="0" w:line="122"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failed to identify or assess the magnitude of certain liabilities, shortcomings or other circumstances prior to acquiring our acquired businesses, which could result in unexpected litigation or regulatory exposure, unfavorable accounting or tax treatment, a diversion of management’s attention and resources, and other adverse effects on our business, financial condition, and operating results.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transactions denominated in foreign currency.</w:t>
      </w:r>
    </w:p>
    <w:p>
      <w:pPr>
        <w:spacing w:after="0" w:line="249"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Changes in the value of the relevant currencies may affect the cost of certain items required in our operations and contractual agreements. Changes in currency exchange rates may also affect the relative prices at which we are able to sell products in the same market. Our revenue from international customers may be negatively impacted as increases in the U.S. dollar relative to our international customers local currency could make our products more expensive, impacting our ability to compete. Our costs of materials from international suppliers may increase if, in order to continue doing business with us, they raise their prices as the value of the U.S. dollar decreases relative to their local currency. Foreign policies and actions regarding currency valuation could result in actions by the United States and other countries to offset the effects of such fluctuations. Recent global financial conditions have led to a high level of volatility in foreign currency exchange rates and that level of volatility may continue, which could adversely affect our business, financial condition, or results of operations.</w:t>
      </w:r>
    </w:p>
    <w:p>
      <w:pPr>
        <w:spacing w:after="0" w:line="212"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Aspects of our international business expose us to business, regulatory, political, operational, financial and economic risks associated with doing business outside of the United States.</w:t>
      </w:r>
    </w:p>
    <w:p>
      <w:pPr>
        <w:spacing w:after="0" w:line="186"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Our business strategy currently includes international presence and expansion in select countries and may include developing and maintaining physician outreach and education capabilities outside of the United States, establishing agreements with laboratories, and expanding our relationships with international payers. In 2021, we acquired HalioDx, an immuno-oncology diagnostics company that is based in Marseille, France, and operates globally. In 2024, we acquired C2i, an oncology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diagnostics company based in Tel Aviv, Israel, with global operations. Doing business internationally involves a number of risks, including:</w:t>
      </w:r>
    </w:p>
    <w:p>
      <w:pPr>
        <w:spacing w:after="0" w:line="245" w:lineRule="exact"/>
        <w:rPr>
          <w:sz w:val="20"/>
          <w:szCs w:val="20"/>
          <w:color w:val="auto"/>
        </w:rPr>
      </w:pPr>
    </w:p>
    <w:p>
      <w:pPr>
        <w:ind w:left="640" w:hanging="315"/>
        <w:spacing w:after="0" w:line="275"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90" w:lineRule="exact"/>
        <w:rPr>
          <w:rFonts w:ascii="Times New Roman" w:cs="Times New Roman" w:eastAsia="Times New Roman" w:hAnsi="Times New Roman"/>
          <w:sz w:val="18"/>
          <w:szCs w:val="18"/>
          <w:color w:val="auto"/>
        </w:rPr>
      </w:pPr>
    </w:p>
    <w:p>
      <w:pPr>
        <w:jc w:val="both"/>
        <w:ind w:left="640" w:hanging="315"/>
        <w:spacing w:after="0" w:line="256"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disruptions to the development and launch of additional products or services as a result of having technology and research and development operations in Israel, including disruptions related to maintaining key research and development employees in Israel and the potential impact of the conflict in the Middle East on operations and business continuity as well as Company personnel who are performing, or on reserve to perform, military services as a result of such conflict;</w:t>
      </w:r>
    </w:p>
    <w:p>
      <w:pPr>
        <w:spacing w:after="0" w:line="207"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regulatory approvals, authorizations, or certifications where required for the use of our solutions in various countries;</w:t>
      </w:r>
    </w:p>
    <w:p>
      <w:pPr>
        <w:spacing w:after="0" w:line="245"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government payers or patient self-pay systems, including payers mandating additional evidence requirements for reimbursement consideration;</w:t>
      </w:r>
    </w:p>
    <w:p>
      <w:pPr>
        <w:spacing w:after="0" w:line="190"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tissue samples, including infrastructure conditions and transportation delays;</w:t>
      </w:r>
    </w:p>
    <w:p>
      <w:pPr>
        <w:spacing w:after="0" w:line="245"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establishing laboratory partners, including proper sample collection techniques, management of supplies, sample logistics, billing and promotional activities;</w:t>
      </w:r>
    </w:p>
    <w:p>
      <w:pPr>
        <w:spacing w:after="0" w:line="190"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 if we are not able to process tests locally;</w:t>
      </w:r>
    </w:p>
    <w:p>
      <w:pPr>
        <w:spacing w:after="0" w:line="245"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90"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political unrest and other regional conflicts, outbreak of disease, including pandemics, boycotts, curtailment of trade and other business restrictions (including as a direct or indirect result of the conflict in Ukraine); and</w:t>
      </w:r>
    </w:p>
    <w:p>
      <w:pPr>
        <w:spacing w:after="0" w:line="202" w:lineRule="exact"/>
        <w:rPr>
          <w:rFonts w:ascii="Times New Roman" w:cs="Times New Roman" w:eastAsia="Times New Roman" w:hAnsi="Times New Roman"/>
          <w:sz w:val="18"/>
          <w:szCs w:val="18"/>
          <w:color w:val="auto"/>
        </w:rPr>
      </w:pPr>
    </w:p>
    <w:p>
      <w:pPr>
        <w:ind w:left="640" w:right="20" w:hanging="315"/>
        <w:spacing w:after="0" w:line="275"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Any of these factors could significantly harm our future international expansion and operations and, consequently, our revenue and results of operations.</w:t>
      </w:r>
    </w:p>
    <w:p>
      <w:pPr>
        <w:spacing w:after="0" w:line="2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be adversely affected by unfavorable macroeconomic and market conditions.</w:t>
      </w:r>
    </w:p>
    <w:p>
      <w:pPr>
        <w:spacing w:after="0" w:line="249"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18"/>
          <w:szCs w:val="18"/>
          <w:color w:val="auto"/>
        </w:rPr>
        <w:t>Our business or financial results may be adversely impacted by uncertain economic conditions, including: regional conflicts globally, turmoil in the global banking and finance system, adverse changes in interest rates, foreign currency exchange rates, tax laws or tax rates; inflation; a recession; the impact of disease outbreak; contraction in the availability of credit in the marketplace due to legislation or other economic conditions, which may potentially impair our ability to access the capital markets on terms acceptable to us or at all; and the effects of government initiatives to manage economic conditions. Many of the countries in which we operate, including the United States and those in Europe, have experienced and continue to experience uncertain economic conditions, including persistent inflation and volatile interest rates, resulting from global as well as local factors. For example, the short and long-term implications of the military conflict between Russia and Ukraine are difficult to predict at this time, including as it relates to our site in Marseille, France. The impact to Ukraine as well as actions taken by other countries, including new and stricter sanctions imposed by the United States and the European Union, and other countries and companies and organizations, could adversely affect the global economy and financial markets and thus could affect our business and results of operations, as well as the price of our common stock and our ability to raise additional capital when needed on acceptable terms. Additionally, financial pressures may cause government or other third-party payers to more aggressively seek cost containment measures in healthcare and other settings. Furthermore, the C2i Acquisition included acquiring assets, including employees, based in Israel, and the impact of the military conflict in the Middle East, or any escalation thereof, is difficult to predict at this time. The conflict has the potential to disrupt operations and business continuity, including physical damage or impaired access to Company facilities, offices, or technology and disruptions in access to</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electricity, gasoline, or water, as well as potential impact on our key employees located in Israel, such as the mobilization of employees who are members of the Israeli military reserves to active duty, disrupted communication with employees and restrictions on movement in areas subject to armed conflict.</w:t>
      </w:r>
    </w:p>
    <w:p>
      <w:pPr>
        <w:spacing w:after="0" w:line="190"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Moreover, we cannot predict how future economic conditions will affect our customers, suppliers and distributors and any negative impact on our critical customers, suppliers or distributors may also have an adverse impact on our results of operations or financial condition. A severe or prolonged economic downturn, could result in a variety of risks to our business, including weakened demand for our products and services and our ability to raise additional capital when needed on favorable terms, if at all. A weak or declining economy could strain our collaborators,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spacing w:after="0" w:line="208"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reliance on distributors for sales of our products outside of the United States, and on clinical laboratories for delivery of Prosigna testing services, could limit or prevent us from selling our products and impact our revenue.</w:t>
      </w:r>
    </w:p>
    <w:p>
      <w:pPr>
        <w:spacing w:after="0" w:line="186"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We have established distribution agreements for the Prosigna IVD test kit. We do not provide testing services directly and, thus, we are reliant on these clinical laboratories to actively promote and sell Prosigna testing services. These clinical laboratories may take longer than anticipated to begin offering Prosigna testing services and may not commit the necessary resources to market and sell Prosigna testing services to the level of our expectations. Furthermore, we intend to contract with additional clinical laboratories to offer Prosigna testing services, including physician-owned laboratories, and we may be unsuccessful in attracting and contracting with new clinical laboratory providers. If current or future Prosigna testing service providers do not perform adequately, or we are unable to enter into contracts with additional clinical laboratories to provide Prosigna testing services, we may not be successful selling Prosigna and our future revenue prospects may be adversely affected.</w:t>
      </w:r>
    </w:p>
    <w:p>
      <w:pPr>
        <w:spacing w:after="0" w:line="209" w:lineRule="exact"/>
        <w:rPr>
          <w:sz w:val="20"/>
          <w:szCs w:val="20"/>
          <w:color w:val="auto"/>
        </w:rPr>
      </w:pPr>
    </w:p>
    <w:p>
      <w:pPr>
        <w:ind w:right="60"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Errors or defects in our products or services could harm our reputation, decrease market acceptance of our products or services or expose us to product liability claims, and we could face substantial liabilities that exceed our resources.</w:t>
      </w:r>
    </w:p>
    <w:p>
      <w:pPr>
        <w:spacing w:after="0" w:line="186"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18"/>
          <w:szCs w:val="18"/>
          <w:color w:val="auto"/>
        </w:rPr>
        <w:t>We are creating new tests, products and services, many of which are initially based on novel technologies. Our new tests and products may contain undetected errors or defects that are not identified until after they are first introduced to the market. As all of our tests, products and services progress, we or others may determine that we made unintended scientific or technological mistakes or omissions. Furthermore, the testing processes utilize a number of complex and sophisticated biochemical, informatics, optical and mechanical processes, many of which are highly sensitive to external factors and variation between testing runs. Refinements to our processes may initially result in unanticipated issues that reduce efficiency or increase variability. In particular, sequencing, which is a key component of these processes, could be inefficient with higher-than-expected variability. This could increase total sequencing costs and reduce the number of samples we can process in a given time period, which may negatively impact customer turnaround time. Additionally, our laboratory operations could result in any number of errors or defects. Our quality assurance system or product development processes may fail to prevent us from inadvertent problems with samples, sample quality, lab processes including sequencing, software, data upload or analysis, raw materials, reagent manufacturing, assay quality or design, or other components or processes. Moreover, our assays may have quality or design errors, and we may have inadequate procedures or instrumentation to process samples, assemble our proprietary primer mixes and commercial materials, upload and analyze data, or otherwise conduct our laboratory operations. Additionally, 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Decipher Prostate, Prosigna, Envisia, and Decipher Bladder tests, as well as tests we may develop or acquire in the future.</w:t>
      </w:r>
    </w:p>
    <w:p>
      <w:pPr>
        <w:spacing w:after="0" w:line="218"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Any of the foregoing defects or errors could harm our reputation, decrease market acceptance of our products or services or expose us to product liability claims. A product liability or errors and omissions liability claim could further result in substantial damages and be costly and time-consuming for us to defend. Although we maintain product liability and errors and omissions insurance, we cannot assure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decrease market acceptance of our products or cause us to recall or suspend sales of our products and solutions. The occurrence of any of these events could have an adverse effect on our business and results of operations.</w:t>
      </w:r>
    </w:p>
    <w:p>
      <w:pPr>
        <w:spacing w:after="0" w:line="1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Issues relating to the use of AI and machine learning in our offerings could adversely affect our business and operating results.</w:t>
      </w:r>
    </w:p>
    <w:p>
      <w:pPr>
        <w:spacing w:after="0" w:line="249"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We continue to integrate AI and machine learning into certain of our product offerings. Issues relating to the use of new and evolving technologies such as AI and machine learning may cause us to experience brand or reputational harm, competitive harm, legal liability, and new or enhanced governmental or regulatory scrutiny, and we may incur additional costs to resolve such issues. As with many innovations, AI presents risks and challenges that could undermine or slow its adoption, and therefore harm our business. For example, perceived or actual technical, legal, compliance, privacy, security, ethical or other issues relating to the use of AI may cause public confidence in AI to be undermined, which could slow our customers’ adoption of our products and services that use AI. In addition, litigation or government regulation related to the use of AI may also adversely impact our and others’ abilities to develop and offer products that use AI, as well as increase the cost and complexity of doing so. Developing, testing and deploying AI components in our product offerings may also increase the cost profile of our product offerings due to the nature of the computing costs involved in such AI systems, which could impact our product margin and adversely affect our business and operating results. Further, market demand and acceptance of AI technologies are uncertain, and we may be unsuccessful in our product development efforts.</w:t>
      </w:r>
    </w:p>
    <w:p>
      <w:pPr>
        <w:spacing w:after="0" w:line="215"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and the operations of our laboratories are subject to the risk of disruptions caused by pandemics, political events, war, terrorism, earthquakes, fire, power outages, severe weather, floods, and other catastrophic events.</w:t>
      </w:r>
    </w:p>
    <w:p>
      <w:pPr>
        <w:spacing w:after="0" w:line="186"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War, terrorism, geopolitical uncertainties, including any developments or consequences of regional conflicts globally or related sanctions, trade restrictions, public health issues, natural disasters and other catastrophic events may cause damage or disruption to the economy and commerce on a global, regional or country-specific basis, and could disrupt supply or delivery of, or demand for, our products. For example, the COVID-19 outbreak and emergence of variants had a negative effect on consumer confidence and spending, and other impacts, which adversely affected our business.</w:t>
      </w:r>
    </w:p>
    <w:p>
      <w:pPr>
        <w:spacing w:after="0" w:line="20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addition, we perform all of the Afirma and Envisia genomic classifier testing at our laboratory in South San Francisco, California, near major earthquake faults known for seismic activity and in a region affected by wildfires. We perform our urology tests in our laboratory in San Diego, California. Our laboratory in Austin, Texas accepts and stores the majority of our Afirma FNA samples pending transfer to our California laboratory for genomic test processing. Our manufacturing facility in Marseille, France, produces many of our Prosigna tests, as well as products for our IVD manufacturing services, and is subject to the risk of power outages resulting from constrained European energy supply.</w:t>
      </w:r>
    </w:p>
    <w:p>
      <w:pPr>
        <w:spacing w:after="0" w:line="21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208" w:lineRule="exact"/>
        <w:rPr>
          <w:sz w:val="20"/>
          <w:szCs w:val="20"/>
          <w:color w:val="auto"/>
        </w:rPr>
      </w:pPr>
    </w:p>
    <w:p>
      <w:pPr>
        <w:jc w:val="both"/>
        <w:ind w:right="20"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inability to raise additional capital on acceptable terms in the future may limit our ability to develop and commercialize new solutions and technologies and expand our operations, organically or inorganically.</w:t>
      </w:r>
    </w:p>
    <w:p>
      <w:pPr>
        <w:spacing w:after="0" w:line="186"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We expect continued capital expenditures over the next few years as we expand our infrastructure, commercial operations and research and development activities. In addition, we may not be able to sustain our level of profitability and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The trading prices for our common stock and other companies have been highly volatile, which may reduce our ability to access capital on favorable terms or at all. In addition, a recession, depression or other sustained adverse market event could materially and adversely affect our business and the value of our common stock.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213"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2023, the global banking system experienced turmoil. Our ongoing cash management strategy is to maintain diversity in our deposit accounts across financial institutions, but deposits in these institutions may exceed the amount of insurance provided on such deposits and there can be no assurance that this strategy will be successful. If other banks and financial institutions enter receivership or become insolvent in the future in response to financial conditions affecting the banking system and financial markets, then our ability to access our cash and cash equivalents and short-term investments may be threatened, which could have a material adverse effect on our business and financial condition. Moreover, events such as the closure of large financial institutions, in addition to other global macroeconomic conditions, may cause further turbulence and uncertainty in the capital markets.</w:t>
      </w:r>
    </w:p>
    <w:p>
      <w:pPr>
        <w:spacing w:after="0" w:line="208" w:lineRule="exact"/>
        <w:rPr>
          <w:sz w:val="20"/>
          <w:szCs w:val="20"/>
          <w:color w:val="auto"/>
        </w:rPr>
      </w:pPr>
    </w:p>
    <w:p>
      <w:pPr>
        <w:jc w:val="both"/>
        <w:ind w:firstLine="12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spacing w:after="0" w:line="201"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In the ordinary course of our business, we and our third-party service providers collect and store sensitive data, including legally protected health information, other personally identifiable information,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 System failures or outages could compromise our ability to protect sensitive information and prevent business interference, which could harm our ability to conduct business and/or delay our financial reporting. Such failures could materially adversely affect our operating results and financial condition.</w:t>
      </w:r>
    </w:p>
    <w:p>
      <w:pPr>
        <w:spacing w:after="0" w:line="213"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currently aware of any such attack or breach having occurred, if such an event were to occur and cause interruptions in our operations, our networks would be compromised and the information we store on those networks could potentially be accessed by unauthorized parties, publicly disclosed, lost or stolen. Any such access, disclosure or other loss of information could result in legal claims or proceedings, liability, and penalties under federal, state, and international laws and regulations that protect the privacy and security of personal information, such as the HIPAA regulations and the EU General Data Protection Regulation, or GDPR. Unauthorized access, loss or dissemination of such data also could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and manage the administrative aspects of our business, any of which could adversely affect our business, including by materially damaging our reputation.</w:t>
      </w:r>
    </w:p>
    <w:p>
      <w:pPr>
        <w:spacing w:after="0" w:line="215"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In addition, the interpretation and application of consumer, health-related and data protection laws in the United States, Europe and elsewhere are often uncertain, contradictory, and in flux. It is possible that these laws may be interpreted and enforced in a manner that we have not anticipated in designing our practices and compliance policies. If so, this could result in government-imposed fines or orders requiring that we change our practices, which could adversely affect our business. Certain health-related and data protection requirements have been modified under section 319 of the Public Health Service Act during the Public Health Emergency, or PHE, first declared January 31, 2020, which was most recently extended effective January 11, 2023. The Biden Administration lifted the PHE declaration on May 11, 2023. In addition, we are subject to various state laws, including the California Consumer Privacy Act, or CCPA, which, among other things, requires covered companies to provide disclosures to California consumers concerning the collection and sale of personal information, and gives such consumers the right to opt out of certain sales of personal information. Amendments to the CCPA have been made since its enactment in 2018,</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most significantly in the form of amendments and expansions pursuant to the California Privacy Rights Act adopted by ballot measure in November 2020, and it remains unclear what, if any, further amendments will be made to this legislation or how it will be interpreted. We cannot yet predict the impact of the CCPA or similar laws on our business or operations, but they may require us to modify our data processing practices and policies and to incur substantial costs and expenses in an effort to comply.</w:t>
      </w:r>
    </w:p>
    <w:p>
      <w:pPr>
        <w:spacing w:after="0" w:line="207"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Further, on July 26, 2023, the SEC adopted new cybersecurity disclosure rules for public companies that require disclosure regarding cybersecurity risk management (including the board of director’s role in overseeing cybersecurity risks, management’s role and expertise in assessing and managing cybersecurity risks and processes for assessing, identifying and managing cybersecurity risks) in annual reports on Form 10-K. These new cybersecurity disclosure rules also require the disclosure of material cybersecurity incidents through a Current Report on Form 8-K, within four business days of determining an incident is material. Our failure to comply with these requirements, and disclosures of any cybersecurity incidents pursuant to these requirements, could adversely impact our business, operating results and financial condition.</w:t>
      </w:r>
    </w:p>
    <w:p>
      <w:pPr>
        <w:spacing w:after="0" w:line="208"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data privacy issues, including evolving laws, regulations and associated compliance efforts, may adversely impact our business and financial results.</w:t>
      </w:r>
    </w:p>
    <w:p>
      <w:pPr>
        <w:spacing w:after="0" w:line="186"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17"/>
          <w:szCs w:val="17"/>
          <w:color w:val="auto"/>
        </w:rPr>
        <w:t>Legislation in various countries around the world with regard to cybersecurity, privacy and data protection is rapidly expanding and creating a complex compliance environment. We are subject to many federal, state, and foreign laws and regulations, including those related to privacy, rights of publicity, data protection, content regulation, intellectual property, health and safety, competition, protection of minors, consumer protection, employment, and taxation.</w:t>
      </w:r>
    </w:p>
    <w:p>
      <w:pPr>
        <w:spacing w:after="0" w:line="186"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18"/>
          <w:szCs w:val="18"/>
          <w:color w:val="auto"/>
        </w:rPr>
        <w:t>Recent developments in Europe have created compliance uncertainty regarding the processing of personal data from Europe. For example, the GDPR, which became effective in the EU on May 25, 2018, applies to our activities conducted from an establishment in the EU or related to products and services that we offer to EU users. The GDPR imposed new compliance obligations applicable to our business, including accountability obligations requiring data controllers and processors to maintain a record of their data processing and implement policies as part of its mandated privacy governance framework. It also requires data controllers to be transparent and to disclose to data subjects how their personal data is to be used, protected, and shared; imposes limitations on retention of personal data; introduces mandatory data breach notification requirements; and sets higher standards for data controllers to demonstrate that they have obtained valid consent for certain data processing activities. Continued compliance with these obligations could cause us to change our business practices, and we risk financial penalties for noncompliance (including possible fines of up to 4% of global annual turnover for the preceding financial year or €20 million (whichever is higher) for the most serious infringements). In addition, the GDPR prohibits the transfer of personal data from the EEA to other jurisdictions that the European Commission does not recognize as having “adequate” data protection laws unless a data-protective transfer mechanism has been put in place. On July 16, 2020, the Court of Justice of the European Union, or CJEU, issued a decision undermining the validity of the data-protective transfer mechanisms previously relied on, creating widespread uncertainty about compliance with the GDPR rules on data transfers to non-“adequate” jurisdictions which, at that time, included the United States. The EU Commission announced July 2023 that it had adopted a new adequacy decision with respect to the United States under a new regulatory structure known as the EU-US Data Privacy Framework. Although the EU-US Data Privacy Framework potentially provides additional regulatory certainty regarding data transfers from the EU to the US, it is widely expected that the new data transfer framework may be challenged before the CJEU, and in addition, the EU-US Data Privacy Framework is not automatically available to all companies but requires a company to meet certain jurisdictional and procedural requirements in order to get the benefit of utilizing such framework as a data-protective transfer mechanism.</w:t>
      </w:r>
    </w:p>
    <w:p>
      <w:pPr>
        <w:spacing w:after="0" w:line="219"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Additionally, while the CJEU generally confirmed the validity of the European Commission-approved “Standard Contractual Clauses”, or SCCs, as a personal data-protective transfer mechanism, it made clear that reliance on the SCCs alone may not necessarily be sufficient in all circumstances. Use of the SCCs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In response to the CJEU decision, the European Commission has published revised SCCs; existing SCC arrangements were required to be migrated to the revised SCCs by December 27, 2022. We were required to implement the revised SCCs, in relation to relevant existing contracts and certain additional contracts and arrangements, by that date. In addition, the revised SCCs are not to be relied on for data transfers to non-EEA entities subject to the GDPR, and we are waiting for further guidance on valid mechanisms for data transfers from the EEA to such entities.</w:t>
      </w:r>
    </w:p>
    <w:p>
      <w:pPr>
        <w:spacing w:after="0" w:line="214"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Following the United Kingdom’s withdrawal from the EEA and the EU, and the expiry of the transition period, companies processing the information of EU data subjects have to comply with both the GDPR and the GDPR as incorporated into United Kingdom national law, the latter regime having the ability to separately fine up to the greater of £17.5 million or 4% of global turnover. The European Commission has adopted an adequacy decision in favor of the United Kingdom, enabling data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transfers from EU member states to the United Kingdom without additional safeguards. However, the UK adequacy decision will automatically expire in June 2025 unless the European Commission re-assesses and renews/ extends that decision, and remains under review by the Commission during this period. The relationship between the United Kingdom and the EU in relation to certain aspects of data protection law remains unclear, and it is unclear how UK data protection laws and regulations will develop in the medium to longer term, and how data transfers to and from the United Kingdom will be regulated in the long term. These developments may lead to additional costs and increase our overall risk exposure.</w:t>
      </w:r>
    </w:p>
    <w:p>
      <w:pPr>
        <w:spacing w:after="0" w:line="212"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w:t>
      </w:r>
    </w:p>
    <w:p>
      <w:pPr>
        <w:spacing w:after="0" w:line="213"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 CCPA established individual privacy rights for California consumers and places increased privacy and data security obligations on entities handling personal information of consumers or households. The CCPA was amended several times after its enactment, most recently by the California Privacy Rights Act, or the CPRA, which, as of its effective date of January 1, 2023, gives California residents expanded privacy rights, including the right to opt out of certain personal information sharing, the use of “sensitive personal information,” and the use of personal information for automated decision-making or targeted advertising. The CCPA and CPRA provide for civil penalties and a private right of action for data breaches that are expected to increase data breach litigation. The CCPA and CPRA may increase our compliance costs and potential liability. Following the lead of California, several other states, including Colorado, Utah, Virginia and Connecticut have each enacted laws similar to the CCPA/CPRA and Oregon, Texas, Florida, Montana and Washington each have laws that will come into effect in 2024 that include obligations on privacy, data protection and use of personal data. The multiple layers of privacy law within the United States could increase our potential liability, increase our compliance costs, and adversely affect our business.</w:t>
      </w:r>
    </w:p>
    <w:p>
      <w:pPr>
        <w:spacing w:after="0" w:line="214" w:lineRule="exact"/>
        <w:rPr>
          <w:sz w:val="20"/>
          <w:szCs w:val="20"/>
          <w:color w:val="auto"/>
        </w:rPr>
      </w:pPr>
    </w:p>
    <w:p>
      <w:pPr>
        <w:jc w:val="both"/>
        <w:ind w:firstLine="399"/>
        <w:spacing w:after="0" w:line="270" w:lineRule="auto"/>
        <w:rPr>
          <w:sz w:val="20"/>
          <w:szCs w:val="20"/>
          <w:color w:val="auto"/>
        </w:rPr>
      </w:pPr>
      <w:r>
        <w:rPr>
          <w:rFonts w:ascii="Times New Roman" w:cs="Times New Roman" w:eastAsia="Times New Roman" w:hAnsi="Times New Roman"/>
          <w:sz w:val="17"/>
          <w:szCs w:val="17"/>
          <w:color w:val="auto"/>
        </w:rPr>
        <w:t>Other countries outside of the United States and Europe have enacted or are considering enacting international data transfer restrictions and laws requiring local data residency and restricting international data transfer, which could increase the cost and complexity of delivering our services and operating our business. For example, Brazil's General Data Protection Law (as amended by Law No. 13,853/2019) contains restrictions on international transfer and heightened requirements on data concerning health, genetic and biometric data. China’s Personal Information Protection Law (effective November 2021), together with the Cyberspace Administration of China’s Measures on Security Assessment on Cross-border Data Transfer, broadly regulate the processing and international transfer of personal information and impose compliance obligations and penalties comparable to those of the GDPR.</w:t>
      </w:r>
    </w:p>
    <w:p>
      <w:pPr>
        <w:spacing w:after="0" w:line="196"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Furthermore, the C2i Acquisition included acquiring personal data that may originate from, be processed in, or be transferred to and from, Israel, the EU and other jurisdictions. Our ability to process, use and transfer such personal data may be subject to Israel’s privacy and data protection laws including but not limited to Basic Law: Human Dignity and Liberty, 5752 -1992; the Protection of Privacy Law, 5741-1981 and the regulations promulgated thereunder, or the PPL, and the guidelines of the Israel Privacy Authority. Personal data acquired through the C2i Acquisition may be subject to third-party contractual restrictions, as well as privacy and data protection laws in additional jurisdictions. The additional layers of privacy laws in Israel, additional jurisdictions, and contractual requirements increases the complexity of our global data privacy and data protection compliance obligations and risks. This could increase our potential liability, compliance costs, and may adversely affect our business operations.</w:t>
      </w:r>
    </w:p>
    <w:p>
      <w:pPr>
        <w:spacing w:after="0" w:line="213"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These recent developments are likely to require us to review and amend the legal mechanisms by which we make and/ or receive personal data transfers to/in the United States and other countries outside of the EEA. As supervisory authorities issue further guidance on personal data export mechanisms, including circumstances where the SCCs cannot be used, and/or commence enforcement actions, we could suffer additional costs, complaints and/or regulatory investigations or fines, and/or if we are otherwise unable to transfer personal data between and among countries and regions in which we operate, it could affect the manner in which we provide our services and/or the geographical location or segregation of our relevant systems and operations, and could adversely affect our financial results.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in the future.</w:t>
      </w:r>
    </w:p>
    <w:p>
      <w:pPr>
        <w:spacing w:after="0" w:line="249" w:lineRule="exact"/>
        <w:rPr>
          <w:sz w:val="20"/>
          <w:szCs w:val="20"/>
          <w:color w:val="auto"/>
        </w:rPr>
      </w:pPr>
    </w:p>
    <w:p>
      <w:pPr>
        <w:jc w:val="both"/>
        <w:ind w:firstLine="399"/>
        <w:spacing w:after="0" w:line="272" w:lineRule="auto"/>
        <w:rPr>
          <w:sz w:val="20"/>
          <w:szCs w:val="20"/>
          <w:color w:val="auto"/>
        </w:rPr>
      </w:pPr>
      <w:r>
        <w:rPr>
          <w:rFonts w:ascii="Times New Roman" w:cs="Times New Roman" w:eastAsia="Times New Roman" w:hAnsi="Times New Roman"/>
          <w:sz w:val="17"/>
          <w:szCs w:val="17"/>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9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or successfully defend our intellectual property effectively, our business may be harmed.</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20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w:t>
      </w:r>
    </w:p>
    <w:p>
      <w:pPr>
        <w:spacing w:after="0" w:line="190"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may result in the unenforceability or invalidity of such patents and increased competition to our business. The outcome of patent litigation can be uncertain and any attempts by us to enforce our patent rights against others may not be successful, or, if successful, may take substantial time and result in substantial cost, and may divert our efforts and attention from other aspects of our business.</w:t>
      </w:r>
    </w:p>
    <w:p>
      <w:pPr>
        <w:spacing w:after="0" w:line="213"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20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In particular, the patent positions of companies engaged in the development and commercialization of genomic diagnostic tests may be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213"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may make it difficult for us to stop the infringement of our patents in such countries. Proceedings to enforce our patent rights in foreign jurisdictions may result in substantial cost and divert our efforts and attention from other aspects of our business.</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may result in significant cost and distraction.</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Monitoring unauthorized disclosure may be difficult, and we may not know whether the steps we have taken to prevent such disclosure are, or will be, adequate. If we were to enforce a claim that a third-party had illegally obtained and was using our trade secrets, it may be expensive and time-consuming, and the outcome may be unpredictable. In addition, courts outside the United States may be less willing to protect trade secrets.</w:t>
      </w:r>
    </w:p>
    <w:p>
      <w:pPr>
        <w:spacing w:after="0" w:line="202" w:lineRule="exact"/>
        <w:rPr>
          <w:sz w:val="20"/>
          <w:szCs w:val="20"/>
          <w:color w:val="auto"/>
        </w:rPr>
      </w:pPr>
    </w:p>
    <w:p>
      <w:pPr>
        <w:jc w:val="both"/>
        <w:ind w:firstLine="399"/>
        <w:spacing w:after="0" w:line="272" w:lineRule="auto"/>
        <w:rPr>
          <w:sz w:val="20"/>
          <w:szCs w:val="20"/>
          <w:color w:val="auto"/>
        </w:rPr>
      </w:pPr>
      <w:r>
        <w:rPr>
          <w:rFonts w:ascii="Times New Roman" w:cs="Times New Roman" w:eastAsia="Times New Roman" w:hAnsi="Times New Roman"/>
          <w:sz w:val="17"/>
          <w:szCs w:val="17"/>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may hamper or prevent our ability to commercialize potential products, which could harm our business. Even if we are successful in defending against these claims, litigation may result in substantial costs and be a distraction to management.</w:t>
      </w:r>
    </w:p>
    <w:p>
      <w:pPr>
        <w:spacing w:after="0" w:line="195"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Further, competitors may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212"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have not registered certain of our trademarks in all of our potential geographic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If some other business in one of these markets already owns a trademark that is confusingly similar to one of our trademarks, we may be prohibited from entering that market under our trademark unless we re-brand our product in that location. Similarly, if we develop a new product line, there is no guarantee that one of our existing trademarks will be available as the brand for that new product line. Under those circumstances, we may incur the cost of developing a new trademark for this new product line.</w:t>
      </w:r>
    </w:p>
    <w:p>
      <w:pPr>
        <w:spacing w:after="0" w:line="216"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may be adversely affected, as may our business. Both the patent application process and the process of managing patent disputes can be time consuming and expensive.</w:t>
      </w:r>
    </w:p>
    <w:p>
      <w:pPr>
        <w:spacing w:after="0" w:line="182"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litigation related to intellectual property, which may be time-intensive and costly and may adversely affect our business, operating results or financial condition.</w:t>
      </w:r>
    </w:p>
    <w:p>
      <w:pPr>
        <w:spacing w:after="0" w:line="186"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involving liquid biopsy technologies, including assays for detection or quantification of MRD in patients who have had cancer. We may receive notices of claims of direct or indirect infringement or misappropriation or misuse of other parties’ proprietary rights from time to time. Some of these claims may lead to litigation. We cannot assure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 We are aware of third-party patents and patent applications with claims related to our products, and there may be other relevant third-party patents or patent applications of which we are not aware. We cannot assure that our products do not, or will not, infringe third-party issued patents.</w:t>
      </w:r>
    </w:p>
    <w:p>
      <w:pPr>
        <w:spacing w:after="0" w:line="213"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will not have priority over our patent applications. In addition, the patent laws of the United States allow for various post-grant opposition proceedings, and their outcome can be difficult to predict. Furthermore, if third parties bring these proceedings against our patents, we may experience significant costs and management distraction.</w:t>
      </w:r>
    </w:p>
    <w:p>
      <w:pPr>
        <w:spacing w:after="0" w:line="202"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may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may be burdensome and expensive, even if we were to prevail. Any litigation that may be necessary in the future may result in substantial costs and diversion of resources and may have a material adverse effect on our business, operating results or financial condition.</w:t>
      </w:r>
    </w:p>
    <w:p>
      <w:pPr>
        <w:spacing w:after="0" w:line="213"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18"/>
          <w:szCs w:val="18"/>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may incur substantial costs and divert the attention of our management and technical personnel in defending against any of these claims. Parties making claims against us may be able to obtain injunctive or other relief, which may block our ability to develop, commercialize and sell products, and may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may incur substantial costs related to royalty payments for licenses obtained from third parties, which may negatively affect our financial results. In addition, we may encounter delays in product introductions while we attempt to develop alternative methods or products to avoid infringing third-party patents or proprietary rights. Defense of any lawsuit or failure to obtain any of these licenses may prevent us from commercializing products, and the prohibition of sale of any of our products may materially affect our business and our ability to gain market acceptance for our products. With respect to trademarks, infringement litigation or threats of infringement litigation may require us to re-brand our product in order to enter into the new mark.</w:t>
      </w:r>
    </w:p>
    <w:p>
      <w:pPr>
        <w:spacing w:after="0" w:line="218"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may be compromised by disclosure during this type of litigation. In addition, during the course of this kind of litigation, there may be public announcements of the results of hearings, motions, or other interim proceedings or developments. If securities analysts or investors perceive these results to be negative, it may have a substantial adverse effect on the price of our common stock.</w:t>
      </w:r>
    </w:p>
    <w:p>
      <w:pPr>
        <w:spacing w:after="0" w:line="20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may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may incur significant costs and expenses that may adversely affect our business, operating results, or financial condition.</w:t>
      </w: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may be limited and may result in increased future tax liability to us.</w:t>
      </w:r>
    </w:p>
    <w:p>
      <w:pPr>
        <w:spacing w:after="0" w:line="249"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have a history of net losses and may not sustain our level of profitability in the future. As of December 31, 2023, we had net operating loss, or NOL, carryforwards of approximately $320.7 million, $77.4 million and $113.6 million available to reduce future taxable income, if any, for federal, California and other state income tax purposes, respectively. The U.S. federal NOL carryforwards will begin to expire in 2035 while for state purposes, the NOL carryforwards begin to expire in 2024. In addition, as of December 31, 2023, we had foreign net operating loss carryforwards of approximately $71.0 million and $53.1 million available to reduce future taxable income, if any, for Canadian and French income tax purposes, respectively. The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Canada net operating loss carryforwards will begin to expire in 2034, while for French purposes, the net operating losses will carryforward indefinitely. These NOL carryforwards could expire unused and be unavailable to offset future income tax liabilities. Under the Tax Cuts and Jobs Acts, or Tax Act, which was enacted in December 2017, federal NOLs incurred in tax years beginning after December 31, 2017 may be carried forward indefinitely, but the deductibility of such federal NOLs is limited.</w:t>
      </w:r>
    </w:p>
    <w:p>
      <w:pPr>
        <w:spacing w:after="0" w:line="207"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To the extent that we continue to generate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 Sections 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Section 382 of the Internal Revenue Code, if we earn net taxable income, our ability to use our pre-change NOL carryforwards to offset U.S. federal taxable income may become subject to limitations, which could potentially result in increased future tax liability to us.</w:t>
      </w:r>
    </w:p>
    <w:p>
      <w:pPr>
        <w:spacing w:after="0" w:line="216"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Changes to Internal Revenue Code Section 174 under the 2017 Tax Cuts and Jobs Act went into effect in 2022. The revised code no longer permits a deduction for research and development expenditures in the tax year that such costs are incurred. Instead, such costs must be capitalized and amortized over five or 15 years for U.S. and foreign costs, respectively. The new rules will change the utilization of our NOLs and it is uncertain whether the new rules will be repealed or modified in the future.</w:t>
      </w: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Impairment in the value of our goodwill or other intangible assets could have a material adverse effect on our operating results and financial condition.</w:t>
      </w:r>
    </w:p>
    <w:p>
      <w:pPr>
        <w:spacing w:after="0" w:line="261"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We record goodwill and intangible assets at fair value upon the acquisition of a business. Goodwill represents the excess of amounts paid for acquiring businesses over the fair value of the net assets acquired. Goodwill and indefinite-lived intangible assets are evaluated for impairment annually, or more frequently if conditions warrant, by comparing the carrying value of a reporting unit to its estimated fair value. Intangible assets with definite lives are reviewed for impairment when events or circumstances indicate that their carrying value may not be recoverable. Declines in operating results, divestitures, sustained market declines and other factors that impact the fair value of our reporting unit could result in an impairment of goodwill or intangible assets and, in turn, a charge to net income. Any such charges could have a material adverse effect on our results of operations or financial condition.</w:t>
      </w: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fluctuate and we may incur obligations in tax jurisdictions in excess of amounts that have been accrued.</w:t>
      </w:r>
    </w:p>
    <w:p>
      <w:pPr>
        <w:spacing w:after="0" w:line="236"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18"/>
          <w:szCs w:val="18"/>
          <w:color w:val="auto"/>
        </w:rPr>
        <w:t>We are subject to income taxes in the United States and various foreign jurisdictions. Our effective tax rate may be lower or higher than experienced in the past due to numerous factors, including a change in the mix of our revenue from country to country, the establishment or release of valuation allowances against our deferred tax assets, and changes in tax laws. In addition, we have recorded gross unrecognized tax benefits in our consolidated financial statements that, if recognized, would impact our effective tax rate. We are subject to tax audits in various jurisdictions, including the United States, and tax authorities may disagree with certain positions we have taken and assess additional taxes. There can be no assurance that we will accurately predict the outcomes of these audits, and the actual outcomes could have a material impact on our net income or financial condition. Any of these factors could cause us to experience an effective tax rate significantly different from previous periods or our current expectations, which could have an adverse effect on our business and results of operations. The recognition of deferred tax assets is reduced by a valuation allowance if it is more likely than not that the tax benefits will not be realized. We regularly review our deferred tax assets for recoverability and establish a valuation allowance based on historical income, projected future income, the expected timing of the reversals of existing temporary differences, and the implementation of tax-planning strategies. Given our current earnings, we believe that, within the next two years, sufficient positive evidence may become available to allow us to reach a conclusion that a portion of the valuation allowance recorded against the deferred tax assets held may be reversed. A reversal would result in an income tax benefit for the quarterly and annual period in which we determine to release the valuation allowance. The impact of releasing some or all of such valuation allowance in a future period could be material in the period in which such release occurs. However, the exact timing and amount of a valuation allowance release are subject to change on the basis of the level of profitability that we actually achieve.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128"/>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or practices may cause adverse, unexpected financial reporting fluctuations and affect our reported operating results.</w:t>
      </w:r>
    </w:p>
    <w:p>
      <w:pPr>
        <w:spacing w:after="0" w:line="20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U.S. GAAP is subject to interpretation by the Financial Accounting Standards Board,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208" w:lineRule="exact"/>
        <w:rPr>
          <w:sz w:val="20"/>
          <w:szCs w:val="20"/>
          <w:color w:val="auto"/>
        </w:rPr>
      </w:pPr>
    </w:p>
    <w:p>
      <w:pPr>
        <w:jc w:val="both"/>
        <w:ind w:firstLine="128"/>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Our condensed consolidated financial statements are subject to change and if our estimates or judgments relating to our critical accounting policies prove to be incorrect, our operating results could be adversely affected.</w:t>
      </w:r>
    </w:p>
    <w:p>
      <w:pPr>
        <w:spacing w:after="0" w:line="18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amounts reported in our condensed consolidated financial statements and related notes. We base our estimates on historical experience and on various other assumptions that we believe to be reasonable under the circumstances, as provided in the section titled “Management’s</w:t>
      </w:r>
    </w:p>
    <w:p>
      <w:pPr>
        <w:spacing w:after="0" w:line="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Discussion and Analysis of Financial Condition and Results of Operations” in this Quarterly Report on Form 10-Q. The results of these estimates form the basis for making judgments about the carrying values of assets, liabilities, and equity, and the amount of revenue and expenses that are not readily apparent from other sources. In addition, when we acquire businesses, we make judgments about how best to account for their revenue, assets and liabilities in our condensed consolidated financial statements. These judgments may be based on limited information, estimates and various assumptions, which we may revisit as we more fully integrate such businesses into our company. Critical accounting policies and estimates used in preparing our consolidated financial statements include those related to: revenue recognition; write-down of supplies; the useful lives of property, plant and equipment; the recoverability of long-lived assets; the incremental borrowing rate for leases; the estimation of the fair value of intangible assets and contingent consideration; variable interest entity assessment; impairment of equity investment, at cost; stock options; income tax uncertainties, including a valuation allowance for deferred tax assets; reserve on accounts receivable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spacing w:after="0" w:line="19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30"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86"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consulting and other expenses that we did not incur as a private company, including costs associated with public company accounting and reporting requirements. In addition, the Sarbanes-Oxley Act of 2002 and the Dodd-Frank Act of 2010, as well as rules implemented by the SEC, and The Nasdaq Stock Market LLC, impose a number of requirements on public companies, including with respect to corporate governance practices. Our management and other personnel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209" w:lineRule="exact"/>
        <w:rPr>
          <w:sz w:val="20"/>
          <w:szCs w:val="20"/>
          <w:color w:val="auto"/>
        </w:rPr>
      </w:pPr>
    </w:p>
    <w:p>
      <w:pPr>
        <w:jc w:val="both"/>
        <w:ind w:right="20"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86"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consolidated financial statements may be materially misstated. We will need to maintain and enhance the systems, processes and documentation necessary to comply with Section 404 of the Sarbanes-Oxley Act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We are also required to include an attestation report from our independent registered public accounting firm on the effectiveness of our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internal control over financial reporting annually. Further, because C2i was a private company and was not subject to audits of internal controls, the C2i Acquisition requires or will require us to incorporate additional controls to the businesses acquired in the C2i Acquisition, which may be difficult, costly and time-consuming.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21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208" w:lineRule="exact"/>
        <w:rPr>
          <w:sz w:val="20"/>
          <w:szCs w:val="20"/>
          <w:color w:val="auto"/>
        </w:rPr>
      </w:pPr>
    </w:p>
    <w:p>
      <w:pPr>
        <w:jc w:val="both"/>
        <w:ind w:right="20"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Investors’ expectations of our performance relating to environmental, social and governance factors may impose additional costs and expose us to new risks.</w:t>
      </w:r>
    </w:p>
    <w:p>
      <w:pPr>
        <w:spacing w:after="0" w:line="186"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There is an increasing focus from certain investors, employees, regulators and other stakeholders concerning corporate responsibility, specifically related to environmental, social and governance, or ESG, matters. Some investors may use these non-financial performance factors to guide their investment strategies and, in some cases, may choose not to invest in us if they believe our policies and actions relating to corporate responsibility are inadequate. In addition, corporate responsibility criteria with respect to ESG could change, which could result in greater expectations of us and cause us to undertake more costly initiatives to satisfy such new criteria. For example, in 2023, California passed three separate climate bills governing disclosure of climate house gas emissions data, climate-related financial risks, and details around emissions-related claims and carbon offsets. If we elect not to or are unable to satisfy such new criteria, investors may conclude that our policies with respect to corporate responsibility are inadequate and we may be subject to fines from regulatory authorities and may harm our reputation. We may face reputational damage in the event that we do not meet the ESG standards set by various constituencies. In addition, the SEC recently adopted a rule that requires climate disclosures in periodic and other filings with the SEC, which rule has been stayed pending the completion of a judicial review. To comply with this SEC rule, if such rule goes into effect in its current form, we will be required to establish additional internal controls, engage additional consultants and incur additional costs related to evaluating, managing and reporting on our environmental impact and climate-related risks and opportunities. If we fail to implement sufficient oversight or accurately capture and disclose on environmental matters, our reputation, business, operating results and financial condition may be materially adversely affected.</w:t>
      </w:r>
    </w:p>
    <w:p>
      <w:pPr>
        <w:spacing w:after="0" w:line="213"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environmental, social and governance matters,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reputation and business, results of operations, and financial condition could be adversely affected.</w:t>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may not be able to sell shares of our common stock at or above the price you paid.</w:t>
      </w:r>
    </w:p>
    <w:p>
      <w:pPr>
        <w:spacing w:after="0" w:line="249"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trading price of our common stock is likely to continue to be highly volatile and could be subject to wide fluctuations in response to various factors, some of which are beyond our control. These factors include:</w:t>
      </w:r>
    </w:p>
    <w:p>
      <w:pPr>
        <w:spacing w:after="0" w:line="190" w:lineRule="exact"/>
        <w:rPr>
          <w:sz w:val="20"/>
          <w:szCs w:val="20"/>
          <w:color w:val="auto"/>
        </w:rPr>
      </w:pPr>
    </w:p>
    <w:p>
      <w:pPr>
        <w:ind w:left="640" w:hanging="315"/>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and our competitors’ results of operations;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global macroeconomic impacts of volatile interest rates or inflationary pressures;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commercial relationships or capital commitments;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by current or potential payers, including governmental payers;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securities analysts’ reports or changed recommendations for our stock;</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revenue, due in part to the way in which we recognize revenue;</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regulatory oversight of our products;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hanging="315"/>
        <w:spacing w:after="0" w:line="275"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 including the effect of additional equity we or our competitors issue as consideration for such acquisitions;</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banking system;</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management; and</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inflation and changes in interest rates, and slow or negative growth of our markets.</w:t>
      </w:r>
    </w:p>
    <w:p>
      <w:pPr>
        <w:spacing w:after="0" w:line="298"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cause the trading volume of our stock to decrease.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08"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86"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90" w:lineRule="exact"/>
        <w:rPr>
          <w:sz w:val="20"/>
          <w:szCs w:val="20"/>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5.0 million shares of undesignated preferred stock;</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our chairman of the board, or our chief executive officer;</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4" w:lineRule="exact"/>
        <w:rPr>
          <w:rFonts w:ascii="Times New Roman" w:cs="Times New Roman" w:eastAsia="Times New Roman" w:hAnsi="Times New Roman"/>
          <w:sz w:val="18"/>
          <w:szCs w:val="18"/>
          <w:color w:val="auto"/>
        </w:rPr>
      </w:pPr>
    </w:p>
    <w:p>
      <w:pPr>
        <w:jc w:val="both"/>
        <w:ind w:left="640" w:hanging="315"/>
        <w:spacing w:after="0" w:line="256"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staggered three-year terms. However, beginning with our annual meeting of stockholders to be held in 2024, our board of directors will be declassified over a three-year period, with each class, beginning with the directors standing for election at the annual meeting of stockholders to be held in 2024, subject to an election for a term of one year expiring at the next succeeding annual meeting of stockholders;</w:t>
      </w:r>
    </w:p>
    <w:p>
      <w:pPr>
        <w:spacing w:after="0" w:line="21"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serving in a class of directors for a term expiring at the third annual meeting of stockholders following the election of such class may be removed only for cause;</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except as otherwise required by law, be filled only by a majority of directors then in office, even if less than a quorum;</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federal district courts of the United States shall be the exclusive forum for the resolution of any complaint asserting a cause of action arising under the Securities Act of 1933, as amended;</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 and</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of votes to amend certain of the above-mentioned provisions.</w:t>
      </w:r>
    </w:p>
    <w:p>
      <w:pPr>
        <w:spacing w:after="0" w:line="245"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we do not anticipate paying dividends in the foreseeable future.</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have never paid dividends on any of our capital stock and currently intend to retain any future earnings to fund the growth of our business. We may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business conditions and other factors that our board of directors may deem relevant. As a result, capital appreciation, if any, of our common stock will be the sole source of gain for the foreseeable future.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 Insider Trading Arrangements</w:t>
      </w:r>
    </w:p>
    <w:p>
      <w:pPr>
        <w:spacing w:after="0" w:line="247"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During the three months ended September 30, 2024, the following Section 16 officers and directors adopted, modified or terminated “Rule 10b5-1 trading arrangements” (as defined in Item 408 of Regulation S-K of the Exchange Act).</w:t>
      </w:r>
    </w:p>
    <w:p>
      <w:pPr>
        <w:spacing w:after="0" w:line="58" w:lineRule="exact"/>
        <w:rPr>
          <w:sz w:val="20"/>
          <w:szCs w:val="20"/>
          <w:color w:val="auto"/>
        </w:rPr>
      </w:pPr>
    </w:p>
    <w:p>
      <w:pPr>
        <w:ind w:left="640" w:hanging="315"/>
        <w:spacing w:after="0" w:line="275"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Epstein, director, adopted a new trading plan on August 9, 2024 (with the first trade under the new plan scheduled for approximately November 11, 2024). The trading plan will be effective until January 11, 2025 to sell an aggregate of 15,000 shares of our common stock.</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Rebecca Chambers, Chief Financial Officer, adopted a new trading plan on August 13, 2024 (with the first trade under the new plan scheduled for November 12, 2024). The trading plan will be effective until November 21, 2025 to sell an aggregate of 29,802 shares of our common stock.</w:t>
      </w:r>
    </w:p>
    <w:p>
      <w:pPr>
        <w:spacing w:after="0" w:line="4" w:lineRule="exact"/>
        <w:rPr>
          <w:rFonts w:ascii="Times New Roman" w:cs="Times New Roman" w:eastAsia="Times New Roman" w:hAnsi="Times New Roman"/>
          <w:sz w:val="18"/>
          <w:szCs w:val="18"/>
          <w:color w:val="auto"/>
        </w:rPr>
      </w:pPr>
    </w:p>
    <w:p>
      <w:pPr>
        <w:ind w:left="640" w:right="20" w:hanging="315"/>
        <w:spacing w:after="0" w:line="275"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Karin Eastham, director, adopted a new trading plan on August 20, 2024 (with the first trade under the new plan scheduled for November 19, 2024). The trading plan will be effective until November 14, 2025 to sell an aggregate of 38,955 shares of our common stock.</w:t>
      </w:r>
    </w:p>
    <w:p>
      <w:pPr>
        <w:spacing w:after="0" w:line="4" w:lineRule="exact"/>
        <w:rPr>
          <w:rFonts w:ascii="Times New Roman" w:cs="Times New Roman" w:eastAsia="Times New Roman" w:hAnsi="Times New Roman"/>
          <w:sz w:val="18"/>
          <w:szCs w:val="18"/>
          <w:color w:val="auto"/>
        </w:rPr>
      </w:pPr>
    </w:p>
    <w:p>
      <w:pPr>
        <w:jc w:val="both"/>
        <w:ind w:left="640" w:hanging="315"/>
        <w:spacing w:after="0" w:line="256"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Annie McGuire, General Counsel and Chief People Officer, adopted a new trading plan on September 4, 2024 (with the first trade under the new plan scheduled for December 4, 2024). The trading plan will be effective until December 15, 2025 to sell an aggregate of (i) 14,970 shares of our common stock, plus (ii) 100% of the net shares resulting from the vesting of 31,175 additional common stock during the plan period (net shares are net of tax withholding).</w:t>
      </w:r>
    </w:p>
    <w:p>
      <w:pPr>
        <w:spacing w:after="0" w:line="21" w:lineRule="exact"/>
        <w:rPr>
          <w:rFonts w:ascii="Times New Roman" w:cs="Times New Roman" w:eastAsia="Times New Roman" w:hAnsi="Times New Roman"/>
          <w:sz w:val="18"/>
          <w:szCs w:val="18"/>
          <w:color w:val="auto"/>
        </w:rPr>
      </w:pPr>
    </w:p>
    <w:p>
      <w:pPr>
        <w:jc w:val="both"/>
        <w:ind w:left="640" w:hanging="315"/>
        <w:spacing w:after="0" w:line="256"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Phillip Febbo, Chief Scientific Officer and Chief Medical Officer, adopted a new trading plan on September 4, 2024 (with the first trade under the new plan scheduled for December 4, 2024). The trading plan will be effective until November 21, 2025 to sell an aggregate of (i) 100% of the net shares resulting from the vesting of 38,230 common stock during the plan period, plus (ii) 10% of the net shares resulting from the vesting of 25,528 additional common stock during the plan period (net shares are net of tax withholding).</w:t>
      </w:r>
    </w:p>
    <w:p>
      <w:pPr>
        <w:spacing w:after="0" w:line="21"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 Stapley, Chief Executive Officer, adopted a new trading plan on September 13, 2024 (with the first trade under the new plan scheduled for December 13, 2024). The trading plan will be effective until December 11, 2025 to sell 100% of the net shares resulting from the vesting of 151,087 common stock during the plan period (net shares are net of tax withholding).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4"/>
        </w:trPr>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w w:val="97"/>
              </w:rPr>
              <w:t>Incorporated by Reference</w:t>
            </w: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0" w:type="dxa"/>
            <w:vAlign w:val="bottom"/>
          </w:tcPr>
          <w:p>
            <w:pPr>
              <w:spacing w:after="0"/>
              <w:rPr>
                <w:sz w:val="1"/>
                <w:szCs w:val="1"/>
                <w:color w:val="auto"/>
              </w:rPr>
            </w:pPr>
          </w:p>
        </w:tc>
      </w:tr>
      <w:tr>
        <w:trPr>
          <w:trHeight w:val="159"/>
        </w:trPr>
        <w:tc>
          <w:tcPr>
            <w:tcW w:w="7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gridSpan w:val="6"/>
            <w:vMerge w:val="restart"/>
          </w:tcPr>
          <w:p>
            <w:pPr>
              <w:jc w:val="right"/>
              <w:ind w:right="18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vMerge w:val="restart"/>
          </w:tcPr>
          <w:p>
            <w:pPr>
              <w:spacing w:after="0"/>
              <w:rPr>
                <w:sz w:val="13"/>
                <w:szCs w:val="13"/>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0" w:type="dxa"/>
            <w:vAlign w:val="bottom"/>
            <w:vMerge w:val="restart"/>
          </w:tcPr>
          <w:p>
            <w:pPr>
              <w:spacing w:after="0"/>
              <w:rPr>
                <w:sz w:val="13"/>
                <w:szCs w:val="13"/>
                <w:color w:val="auto"/>
              </w:rPr>
            </w:pPr>
          </w:p>
        </w:tc>
        <w:tc>
          <w:tcPr>
            <w:tcW w:w="13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20" w:type="dxa"/>
            <w:vAlign w:val="bottom"/>
            <w:vMerge w:val="restart"/>
          </w:tcPr>
          <w:p>
            <w:pPr>
              <w:spacing w:after="0"/>
              <w:rPr>
                <w:sz w:val="13"/>
                <w:szCs w:val="13"/>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vMerge w:val="restart"/>
          </w:tcPr>
          <w:p>
            <w:pPr>
              <w:spacing w:after="0"/>
              <w:rPr>
                <w:sz w:val="13"/>
                <w:szCs w:val="13"/>
                <w:color w:val="auto"/>
              </w:rPr>
            </w:pP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0" w:type="dxa"/>
            <w:vAlign w:val="bottom"/>
            <w:vMerge w:val="restart"/>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6"/>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Herewith</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52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Certification of Principal Executive Officer pursuant to Rules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640" w:type="dxa"/>
            <w:vAlign w:val="bottom"/>
            <w:gridSpan w:val="7"/>
          </w:tcPr>
          <w:p>
            <w:pPr>
              <w:spacing w:after="0" w:line="166" w:lineRule="exact"/>
              <w:rPr>
                <w:sz w:val="20"/>
                <w:szCs w:val="20"/>
                <w:color w:val="auto"/>
              </w:rPr>
            </w:pPr>
            <w:r>
              <w:rPr>
                <w:rFonts w:ascii="Times New Roman" w:cs="Times New Roman" w:eastAsia="Times New Roman" w:hAnsi="Times New Roman"/>
                <w:sz w:val="18"/>
                <w:szCs w:val="18"/>
                <w:color w:val="0000FF"/>
              </w:rPr>
              <w:t>13a-14(a)/15d-14(a), as adopted pursuant to Section 302 of the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3"/>
          </w:tcPr>
          <w:p>
            <w:pPr>
              <w:spacing w:after="0" w:line="153"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420" w:type="dxa"/>
            <w:vAlign w:val="bottom"/>
            <w:tcBorders>
              <w:top w:val="single" w:sz="8" w:color="0000FF"/>
            </w:tcBorders>
            <w:gridSpan w:val="3"/>
          </w:tcPr>
          <w:p>
            <w:pPr>
              <w:spacing w:after="0"/>
              <w:rPr>
                <w:sz w:val="13"/>
                <w:szCs w:val="13"/>
                <w:color w:val="auto"/>
              </w:rPr>
            </w:pPr>
          </w:p>
        </w:tc>
        <w:tc>
          <w:tcPr>
            <w:tcW w:w="20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52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Certification of Principal Financial Officer pursuant to Rule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40" w:type="dxa"/>
            <w:vAlign w:val="bottom"/>
            <w:tcBorders>
              <w:top w:val="single" w:sz="8" w:color="0000FF"/>
            </w:tcBorders>
            <w:gridSpan w:val="3"/>
          </w:tcPr>
          <w:p>
            <w:pPr>
              <w:spacing w:after="0" w:line="166" w:lineRule="exact"/>
              <w:rPr>
                <w:sz w:val="20"/>
                <w:szCs w:val="20"/>
                <w:color w:val="auto"/>
              </w:rPr>
            </w:pPr>
            <w:r>
              <w:rPr>
                <w:rFonts w:ascii="Times New Roman" w:cs="Times New Roman" w:eastAsia="Times New Roman" w:hAnsi="Times New Roman"/>
                <w:sz w:val="18"/>
                <w:szCs w:val="18"/>
                <w:color w:val="0000FF"/>
                <w:w w:val="99"/>
              </w:rPr>
              <w:t>13a-14(a)/15d-14(a), as adopted pursuant to Section 302 of</w:t>
            </w:r>
          </w:p>
        </w:tc>
        <w:tc>
          <w:tcPr>
            <w:tcW w:w="400" w:type="dxa"/>
            <w:vAlign w:val="bottom"/>
            <w:gridSpan w:val="4"/>
          </w:tcPr>
          <w:p>
            <w:pPr>
              <w:spacing w:after="0" w:line="166" w:lineRule="exact"/>
              <w:rPr>
                <w:sz w:val="20"/>
                <w:szCs w:val="20"/>
                <w:color w:val="auto"/>
              </w:rPr>
            </w:pPr>
            <w:r>
              <w:rPr>
                <w:rFonts w:ascii="Times New Roman" w:cs="Times New Roman" w:eastAsia="Times New Roman" w:hAnsi="Times New Roman"/>
                <w:sz w:val="18"/>
                <w:szCs w:val="18"/>
                <w:color w:val="0000FF"/>
              </w:rPr>
              <w:t>the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tcBorders>
            <w:gridSpan w:val="6"/>
          </w:tcPr>
          <w:p>
            <w:pPr>
              <w:spacing w:after="0" w:line="153"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0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2"/>
        </w:trPr>
        <w:tc>
          <w:tcPr>
            <w:tcW w:w="700" w:type="dxa"/>
            <w:vAlign w:val="bottom"/>
          </w:tcPr>
          <w:p>
            <w:pPr>
              <w:spacing w:after="0"/>
              <w:rPr>
                <w:sz w:val="24"/>
                <w:szCs w:val="24"/>
                <w:color w:val="auto"/>
              </w:rPr>
            </w:pPr>
          </w:p>
        </w:tc>
        <w:tc>
          <w:tcPr>
            <w:tcW w:w="560" w:type="dxa"/>
            <w:vAlign w:val="bottom"/>
            <w:gridSpan w:val="5"/>
          </w:tcPr>
          <w:p>
            <w:pPr>
              <w:spacing w:after="0"/>
              <w:rPr>
                <w:sz w:val="24"/>
                <w:szCs w:val="24"/>
                <w:color w:val="auto"/>
              </w:rPr>
            </w:pPr>
          </w:p>
        </w:tc>
        <w:tc>
          <w:tcPr>
            <w:tcW w:w="2000" w:type="dxa"/>
            <w:vAlign w:val="bottom"/>
            <w:tcBorders>
              <w:top w:val="single" w:sz="8" w:color="0000FF"/>
            </w:tcBorders>
          </w:tcPr>
          <w:p>
            <w:pPr>
              <w:spacing w:after="0"/>
              <w:rPr>
                <w:sz w:val="24"/>
                <w:szCs w:val="24"/>
                <w:color w:val="auto"/>
              </w:rPr>
            </w:pPr>
          </w:p>
        </w:tc>
        <w:tc>
          <w:tcPr>
            <w:tcW w:w="25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7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Table of Contents</w:t>
            </w:r>
          </w:p>
        </w:tc>
        <w:tc>
          <w:tcPr>
            <w:tcW w:w="6940" w:type="dxa"/>
            <w:vAlign w:val="bottom"/>
            <w:gridSpan w:val="4"/>
          </w:tcPr>
          <w:p>
            <w:pPr>
              <w:spacing w:after="0"/>
              <w:rPr>
                <w:sz w:val="17"/>
                <w:szCs w:val="17"/>
                <w:color w:val="auto"/>
              </w:rPr>
            </w:pPr>
          </w:p>
        </w:tc>
        <w:tc>
          <w:tcPr>
            <w:tcW w:w="2580" w:type="dxa"/>
            <w:vAlign w:val="bottom"/>
          </w:tcPr>
          <w:p>
            <w:pPr>
              <w:spacing w:after="0"/>
              <w:rPr>
                <w:sz w:val="17"/>
                <w:szCs w:val="17"/>
                <w:color w:val="auto"/>
              </w:rPr>
            </w:pPr>
          </w:p>
        </w:tc>
      </w:tr>
      <w:tr>
        <w:trPr>
          <w:trHeight w:val="871"/>
        </w:trPr>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200" w:type="dxa"/>
            <w:vAlign w:val="bottom"/>
          </w:tcPr>
          <w:p>
            <w:pPr>
              <w:spacing w:after="0"/>
              <w:rPr>
                <w:sz w:val="24"/>
                <w:szCs w:val="24"/>
                <w:color w:val="auto"/>
              </w:rPr>
            </w:pPr>
          </w:p>
        </w:tc>
        <w:tc>
          <w:tcPr>
            <w:tcW w:w="69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258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76"/>
              </w:rPr>
              <w:t>X</w:t>
            </w:r>
          </w:p>
        </w:tc>
      </w:tr>
      <w:tr>
        <w:trPr>
          <w:trHeight w:val="153"/>
        </w:trPr>
        <w:tc>
          <w:tcPr>
            <w:tcW w:w="62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top w:val="single" w:sz="8" w:color="0000FF"/>
            </w:tcBorders>
            <w:gridSpan w:val="3"/>
          </w:tcPr>
          <w:p>
            <w:pPr>
              <w:spacing w:after="0" w:line="153" w:lineRule="exact"/>
              <w:rPr>
                <w:sz w:val="20"/>
                <w:szCs w:val="20"/>
                <w:color w:val="auto"/>
              </w:rPr>
            </w:pPr>
            <w:r>
              <w:rPr>
                <w:rFonts w:ascii="Times New Roman" w:cs="Times New Roman" w:eastAsia="Times New Roman" w:hAnsi="Times New Roman"/>
                <w:sz w:val="17"/>
                <w:szCs w:val="17"/>
                <w:color w:val="0000FF"/>
              </w:rPr>
              <w:t>U.S.C. § 1350 (Section 906 of the Sarbanes-Oxley Act of</w:t>
            </w:r>
          </w:p>
        </w:tc>
        <w:tc>
          <w:tcPr>
            <w:tcW w:w="2840" w:type="dxa"/>
            <w:vAlign w:val="bottom"/>
            <w:gridSpan w:val="2"/>
          </w:tcPr>
          <w:p>
            <w:pPr>
              <w:jc w:val="right"/>
              <w:ind w:right="2440"/>
              <w:spacing w:after="0" w:line="153" w:lineRule="exact"/>
              <w:rPr>
                <w:sz w:val="20"/>
                <w:szCs w:val="20"/>
                <w:color w:val="auto"/>
              </w:rPr>
            </w:pPr>
            <w:r>
              <w:rPr>
                <w:rFonts w:ascii="Times New Roman" w:cs="Times New Roman" w:eastAsia="Times New Roman" w:hAnsi="Times New Roman"/>
                <w:sz w:val="17"/>
                <w:szCs w:val="17"/>
                <w:color w:val="0000FF"/>
                <w:w w:val="95"/>
              </w:rPr>
              <w:t>2002)</w:t>
            </w:r>
          </w:p>
        </w:tc>
        <w:tc>
          <w:tcPr>
            <w:tcW w:w="2580" w:type="dxa"/>
            <w:vAlign w:val="bottom"/>
          </w:tcPr>
          <w:p>
            <w:pPr>
              <w:spacing w:after="0"/>
              <w:rPr>
                <w:sz w:val="13"/>
                <w:szCs w:val="13"/>
                <w:color w:val="auto"/>
              </w:rPr>
            </w:pPr>
          </w:p>
        </w:tc>
      </w:tr>
      <w:tr>
        <w:trPr>
          <w:trHeight w:val="219"/>
        </w:trPr>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200" w:type="dxa"/>
            <w:vAlign w:val="bottom"/>
          </w:tcPr>
          <w:p>
            <w:pPr>
              <w:spacing w:after="0"/>
              <w:rPr>
                <w:sz w:val="19"/>
                <w:szCs w:val="19"/>
                <w:color w:val="auto"/>
              </w:rPr>
            </w:pPr>
          </w:p>
        </w:tc>
        <w:tc>
          <w:tcPr>
            <w:tcW w:w="45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c>
          <w:tcPr>
            <w:tcW w:w="2440" w:type="dxa"/>
            <w:vAlign w:val="bottom"/>
          </w:tcPr>
          <w:p>
            <w:pPr>
              <w:spacing w:after="0"/>
              <w:rPr>
                <w:sz w:val="19"/>
                <w:szCs w:val="19"/>
                <w:color w:val="auto"/>
              </w:rPr>
            </w:pPr>
          </w:p>
        </w:tc>
        <w:tc>
          <w:tcPr>
            <w:tcW w:w="258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76"/>
              </w:rPr>
              <w:t>X</w:t>
            </w:r>
          </w:p>
        </w:tc>
      </w:tr>
      <w:tr>
        <w:trPr>
          <w:trHeight w:val="153"/>
        </w:trPr>
        <w:tc>
          <w:tcPr>
            <w:tcW w:w="62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80" w:type="dxa"/>
            <w:vAlign w:val="bottom"/>
            <w:tcBorders>
              <w:top w:val="single" w:sz="8" w:color="0000FF"/>
            </w:tcBorders>
            <w:gridSpan w:val="2"/>
          </w:tcPr>
          <w:p>
            <w:pPr>
              <w:spacing w:after="0" w:line="153" w:lineRule="exact"/>
              <w:rPr>
                <w:sz w:val="20"/>
                <w:szCs w:val="20"/>
                <w:color w:val="auto"/>
              </w:rPr>
            </w:pPr>
            <w:r>
              <w:rPr>
                <w:rFonts w:ascii="Times New Roman" w:cs="Times New Roman" w:eastAsia="Times New Roman" w:hAnsi="Times New Roman"/>
                <w:sz w:val="17"/>
                <w:szCs w:val="17"/>
                <w:color w:val="0000FF"/>
              </w:rPr>
              <w:t>U.S.C. § 1350 (Section 906 of the Sarbanes-Oxley Act of</w:t>
            </w:r>
          </w:p>
        </w:tc>
        <w:tc>
          <w:tcPr>
            <w:tcW w:w="2880" w:type="dxa"/>
            <w:vAlign w:val="bottom"/>
            <w:gridSpan w:val="3"/>
          </w:tcPr>
          <w:p>
            <w:pPr>
              <w:jc w:val="right"/>
              <w:ind w:right="2440"/>
              <w:spacing w:after="0" w:line="153" w:lineRule="exact"/>
              <w:rPr>
                <w:sz w:val="20"/>
                <w:szCs w:val="20"/>
                <w:color w:val="auto"/>
              </w:rPr>
            </w:pPr>
            <w:r>
              <w:rPr>
                <w:rFonts w:ascii="Times New Roman" w:cs="Times New Roman" w:eastAsia="Times New Roman" w:hAnsi="Times New Roman"/>
                <w:sz w:val="17"/>
                <w:szCs w:val="17"/>
                <w:color w:val="0000FF"/>
              </w:rPr>
              <w:t>2002)</w:t>
            </w:r>
          </w:p>
        </w:tc>
        <w:tc>
          <w:tcPr>
            <w:tcW w:w="2580" w:type="dxa"/>
            <w:vAlign w:val="bottom"/>
          </w:tcPr>
          <w:p>
            <w:pPr>
              <w:spacing w:after="0"/>
              <w:rPr>
                <w:sz w:val="13"/>
                <w:szCs w:val="13"/>
                <w:color w:val="auto"/>
              </w:rPr>
            </w:pPr>
          </w:p>
        </w:tc>
      </w:tr>
      <w:tr>
        <w:trPr>
          <w:trHeight w:val="206"/>
        </w:trPr>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17"/>
                <w:szCs w:val="17"/>
                <w:color w:val="auto"/>
              </w:rPr>
            </w:pPr>
          </w:p>
        </w:tc>
        <w:tc>
          <w:tcPr>
            <w:tcW w:w="45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w:t>
            </w:r>
          </w:p>
        </w:tc>
        <w:tc>
          <w:tcPr>
            <w:tcW w:w="2440" w:type="dxa"/>
            <w:vAlign w:val="bottom"/>
          </w:tcPr>
          <w:p>
            <w:pPr>
              <w:spacing w:after="0"/>
              <w:rPr>
                <w:sz w:val="17"/>
                <w:szCs w:val="17"/>
                <w:color w:val="auto"/>
              </w:rPr>
            </w:pPr>
          </w:p>
        </w:tc>
        <w:tc>
          <w:tcPr>
            <w:tcW w:w="258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76"/>
              </w:rPr>
              <w:t>X</w:t>
            </w:r>
          </w:p>
        </w:tc>
      </w:tr>
      <w:tr>
        <w:trPr>
          <w:trHeight w:val="173"/>
        </w:trPr>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980" w:type="dxa"/>
            <w:vAlign w:val="bottom"/>
            <w:gridSpan w:val="6"/>
          </w:tcPr>
          <w:p>
            <w:pPr>
              <w:spacing w:after="0" w:line="173" w:lineRule="exact"/>
              <w:rPr>
                <w:sz w:val="20"/>
                <w:szCs w:val="20"/>
                <w:color w:val="auto"/>
              </w:rPr>
            </w:pPr>
            <w:r>
              <w:rPr>
                <w:rFonts w:ascii="Times New Roman" w:cs="Times New Roman" w:eastAsia="Times New Roman" w:hAnsi="Times New Roman"/>
                <w:sz w:val="18"/>
                <w:szCs w:val="18"/>
                <w:color w:val="auto"/>
              </w:rPr>
              <w:t>not appear in the Interactive Data File because its XBRL tags</w:t>
            </w:r>
          </w:p>
        </w:tc>
        <w:tc>
          <w:tcPr>
            <w:tcW w:w="2580" w:type="dxa"/>
            <w:vAlign w:val="bottom"/>
          </w:tcPr>
          <w:p>
            <w:pPr>
              <w:spacing w:after="0"/>
              <w:rPr>
                <w:sz w:val="15"/>
                <w:szCs w:val="15"/>
                <w:color w:val="auto"/>
              </w:rPr>
            </w:pPr>
          </w:p>
        </w:tc>
      </w:tr>
      <w:tr>
        <w:trPr>
          <w:trHeight w:val="232"/>
        </w:trPr>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are embedded within the Inline XBRL</w:t>
            </w:r>
          </w:p>
        </w:tc>
        <w:tc>
          <w:tcPr>
            <w:tcW w:w="2580" w:type="dxa"/>
            <w:vAlign w:val="bottom"/>
          </w:tcPr>
          <w:p>
            <w:pPr>
              <w:spacing w:after="0"/>
              <w:rPr>
                <w:sz w:val="20"/>
                <w:szCs w:val="20"/>
                <w:color w:val="auto"/>
              </w:rPr>
            </w:pPr>
          </w:p>
        </w:tc>
      </w:tr>
      <w:tr>
        <w:trPr>
          <w:trHeight w:val="228"/>
        </w:trPr>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19"/>
                <w:szCs w:val="19"/>
                <w:color w:val="auto"/>
              </w:rPr>
            </w:pPr>
          </w:p>
        </w:tc>
        <w:tc>
          <w:tcPr>
            <w:tcW w:w="6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258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76"/>
              </w:rPr>
              <w:t>X</w:t>
            </w:r>
          </w:p>
        </w:tc>
      </w:tr>
      <w:tr>
        <w:trPr>
          <w:trHeight w:val="226"/>
        </w:trPr>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19"/>
                <w:szCs w:val="19"/>
                <w:color w:val="auto"/>
              </w:rPr>
            </w:pPr>
          </w:p>
        </w:tc>
        <w:tc>
          <w:tcPr>
            <w:tcW w:w="6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258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76"/>
              </w:rPr>
              <w:t>X</w:t>
            </w:r>
          </w:p>
        </w:tc>
      </w:tr>
      <w:tr>
        <w:trPr>
          <w:trHeight w:val="226"/>
        </w:trPr>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19"/>
                <w:szCs w:val="19"/>
                <w:color w:val="auto"/>
              </w:rPr>
            </w:pPr>
          </w:p>
        </w:tc>
        <w:tc>
          <w:tcPr>
            <w:tcW w:w="6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258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76"/>
              </w:rPr>
              <w:t>X</w:t>
            </w:r>
          </w:p>
        </w:tc>
      </w:tr>
      <w:tr>
        <w:trPr>
          <w:trHeight w:val="226"/>
        </w:trPr>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19"/>
                <w:szCs w:val="19"/>
                <w:color w:val="auto"/>
              </w:rPr>
            </w:pPr>
          </w:p>
        </w:tc>
        <w:tc>
          <w:tcPr>
            <w:tcW w:w="6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258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76"/>
              </w:rPr>
              <w:t>X</w:t>
            </w:r>
          </w:p>
        </w:tc>
      </w:tr>
      <w:tr>
        <w:trPr>
          <w:trHeight w:val="226"/>
        </w:trPr>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19"/>
                <w:szCs w:val="19"/>
                <w:color w:val="auto"/>
              </w:rPr>
            </w:pPr>
          </w:p>
        </w:tc>
        <w:tc>
          <w:tcPr>
            <w:tcW w:w="6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258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76"/>
              </w:rPr>
              <w:t>X</w:t>
            </w:r>
          </w:p>
        </w:tc>
      </w:tr>
      <w:tr>
        <w:trPr>
          <w:trHeight w:val="178"/>
        </w:trPr>
        <w:tc>
          <w:tcPr>
            <w:tcW w:w="1040" w:type="dxa"/>
            <w:vAlign w:val="bottom"/>
            <w:gridSpan w:val="3"/>
          </w:tcPr>
          <w:p>
            <w:pPr>
              <w:jc w:val="right"/>
              <w:ind w:right="80"/>
              <w:spacing w:after="0" w:line="178" w:lineRule="exact"/>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15"/>
                <w:szCs w:val="15"/>
                <w:color w:val="auto"/>
              </w:rPr>
            </w:pPr>
          </w:p>
        </w:tc>
        <w:tc>
          <w:tcPr>
            <w:tcW w:w="6980" w:type="dxa"/>
            <w:vAlign w:val="bottom"/>
            <w:gridSpan w:val="6"/>
          </w:tcPr>
          <w:p>
            <w:pPr>
              <w:spacing w:after="0" w:line="178" w:lineRule="exact"/>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2580" w:type="dxa"/>
            <w:vAlign w:val="bottom"/>
          </w:tcPr>
          <w:p>
            <w:pPr>
              <w:ind w:left="2460"/>
              <w:spacing w:after="0" w:line="178" w:lineRule="exact"/>
              <w:rPr>
                <w:sz w:val="20"/>
                <w:szCs w:val="20"/>
                <w:color w:val="auto"/>
              </w:rPr>
            </w:pPr>
            <w:r>
              <w:rPr>
                <w:rFonts w:ascii="Times New Roman" w:cs="Times New Roman" w:eastAsia="Times New Roman" w:hAnsi="Times New Roman"/>
                <w:sz w:val="18"/>
                <w:szCs w:val="18"/>
                <w:color w:val="auto"/>
                <w:w w:val="76"/>
              </w:rPr>
              <w:t>X</w:t>
            </w:r>
          </w:p>
        </w:tc>
      </w:tr>
      <w:tr>
        <w:trPr>
          <w:trHeight w:val="232"/>
        </w:trPr>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2580" w:type="dxa"/>
            <w:vAlign w:val="bottom"/>
          </w:tcPr>
          <w:p>
            <w:pPr>
              <w:spacing w:after="0"/>
              <w:rPr>
                <w:sz w:val="20"/>
                <w:szCs w:val="20"/>
                <w:color w:val="auto"/>
              </w:rPr>
            </w:pPr>
          </w:p>
        </w:tc>
      </w:tr>
      <w:tr>
        <w:trPr>
          <w:trHeight w:val="233"/>
        </w:trPr>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580" w:type="dxa"/>
            <w:vAlign w:val="bottom"/>
          </w:tcPr>
          <w:p>
            <w:pPr>
              <w:spacing w:after="0"/>
              <w:rPr>
                <w:sz w:val="20"/>
                <w:szCs w:val="20"/>
                <w:color w:val="auto"/>
              </w:rPr>
            </w:pPr>
          </w:p>
        </w:tc>
      </w:tr>
    </w:tbl>
    <w:p>
      <w:pPr>
        <w:spacing w:after="0" w:line="200" w:lineRule="exact"/>
        <w:rPr>
          <w:sz w:val="20"/>
          <w:szCs w:val="20"/>
          <w:color w:val="auto"/>
        </w:rPr>
      </w:pPr>
    </w:p>
    <w:p>
      <w:pPr>
        <w:spacing w:after="0" w:line="234" w:lineRule="exact"/>
        <w:rPr>
          <w:sz w:val="20"/>
          <w:szCs w:val="20"/>
          <w:color w:val="auto"/>
        </w:rPr>
      </w:pPr>
    </w:p>
    <w:p>
      <w:pPr>
        <w:jc w:val="both"/>
        <w:ind w:left="1240" w:hanging="1216"/>
        <w:spacing w:after="0" w:line="221" w:lineRule="auto"/>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5"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0" w:lineRule="exact"/>
        <w:rPr>
          <w:sz w:val="20"/>
          <w:szCs w:val="20"/>
          <w:color w:val="auto"/>
        </w:rPr>
      </w:pPr>
    </w:p>
    <w:p>
      <w:pPr>
        <w:ind w:firstLine="758"/>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00" w:lineRule="exact"/>
        <w:rPr>
          <w:sz w:val="20"/>
          <w:szCs w:val="20"/>
          <w:color w:val="auto"/>
        </w:rPr>
      </w:pPr>
    </w:p>
    <w:p>
      <w:pPr>
        <w:spacing w:after="0" w:line="36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VERACYTE, INC.</w:t>
      </w:r>
    </w:p>
    <w:p>
      <w:pPr>
        <w:spacing w:after="0" w:line="325" w:lineRule="exact"/>
        <w:rPr>
          <w:sz w:val="20"/>
          <w:szCs w:val="20"/>
          <w:color w:val="auto"/>
        </w:rPr>
      </w:pPr>
    </w:p>
    <w:p>
      <w:pPr>
        <w:ind w:left="4680"/>
        <w:spacing w:after="0"/>
        <w:tabs>
          <w:tab w:leader="none" w:pos="6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40640</wp:posOffset>
            </wp:positionV>
            <wp:extent cx="19500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Rebecca Chambers</w:t>
      </w:r>
    </w:p>
    <w:p>
      <w:pPr>
        <w:ind w:left="60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21"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EXECUTIVE OFFICER’S 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Marc Stapley, certify that:</w:t>
      </w:r>
    </w:p>
    <w:p>
      <w:pPr>
        <w:spacing w:after="0" w:line="218" w:lineRule="exact"/>
        <w:rPr>
          <w:sz w:val="20"/>
          <w:szCs w:val="20"/>
          <w:color w:val="auto"/>
        </w:rPr>
      </w:pPr>
    </w:p>
    <w:p>
      <w:pPr>
        <w:ind w:left="1420" w:hanging="656"/>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Veracyte, Inc. for the quarter ended September 30, 2024;</w:t>
      </w:r>
    </w:p>
    <w:p>
      <w:pPr>
        <w:spacing w:after="0" w:line="218" w:lineRule="exact"/>
        <w:rPr>
          <w:rFonts w:ascii="Times New Roman" w:cs="Times New Roman" w:eastAsia="Times New Roman" w:hAnsi="Times New Roman"/>
          <w:sz w:val="18"/>
          <w:szCs w:val="18"/>
          <w:color w:val="auto"/>
        </w:rPr>
      </w:pPr>
    </w:p>
    <w:p>
      <w:pPr>
        <w:ind w:right="200" w:firstLine="764"/>
        <w:spacing w:after="0" w:line="261" w:lineRule="auto"/>
        <w:tabs>
          <w:tab w:leader="none" w:pos="142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340" w:firstLine="764"/>
        <w:spacing w:after="0" w:line="275" w:lineRule="auto"/>
        <w:tabs>
          <w:tab w:leader="none" w:pos="142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right="160" w:firstLine="764"/>
        <w:spacing w:after="0" w:line="261" w:lineRule="auto"/>
        <w:tabs>
          <w:tab w:leader="none" w:pos="14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right="180" w:firstLine="1442"/>
        <w:spacing w:after="0" w:line="261" w:lineRule="auto"/>
        <w:tabs>
          <w:tab w:leader="none" w:pos="206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140" w:firstLine="1442"/>
        <w:spacing w:after="0" w:line="261" w:lineRule="auto"/>
        <w:tabs>
          <w:tab w:leader="none" w:pos="207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320" w:firstLine="1442"/>
        <w:spacing w:after="0" w:line="305" w:lineRule="auto"/>
        <w:tabs>
          <w:tab w:leader="none" w:pos="2061"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Times New Roman" w:cs="Times New Roman" w:eastAsia="Times New Roman" w:hAnsi="Times New Roman"/>
          <w:sz w:val="17"/>
          <w:szCs w:val="17"/>
          <w:color w:val="auto"/>
        </w:rPr>
      </w:pPr>
    </w:p>
    <w:p>
      <w:pPr>
        <w:ind w:right="140" w:firstLine="1442"/>
        <w:spacing w:after="0" w:line="261" w:lineRule="auto"/>
        <w:tabs>
          <w:tab w:leader="none" w:pos="207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80" w:firstLine="764"/>
        <w:spacing w:after="0" w:line="305" w:lineRule="auto"/>
        <w:tabs>
          <w:tab w:leader="none" w:pos="141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Times New Roman" w:cs="Times New Roman" w:eastAsia="Times New Roman" w:hAnsi="Times New Roman"/>
          <w:sz w:val="17"/>
          <w:szCs w:val="17"/>
          <w:color w:val="auto"/>
        </w:rPr>
      </w:pPr>
    </w:p>
    <w:p>
      <w:pPr>
        <w:ind w:right="100" w:firstLine="1442"/>
        <w:spacing w:after="0" w:line="275" w:lineRule="auto"/>
        <w:tabs>
          <w:tab w:leader="none" w:pos="205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right="120" w:firstLine="1442"/>
        <w:spacing w:after="0" w:line="275" w:lineRule="auto"/>
        <w:tabs>
          <w:tab w:leader="none" w:pos="206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20"/>
        <w:spacing w:after="0"/>
        <w:tabs>
          <w:tab w:leader="none" w:pos="29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7, 2024</w:t>
      </w:r>
    </w:p>
    <w:p>
      <w:pPr>
        <w:spacing w:after="0" w:line="4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32385</wp:posOffset>
            </wp:positionV>
            <wp:extent cx="19500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Marc Stapley</w:t>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4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77"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FINANCIAL OFFICER’S 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Rebecca Chambers, certify that:</w:t>
      </w:r>
    </w:p>
    <w:p>
      <w:pPr>
        <w:spacing w:after="0" w:line="218" w:lineRule="exact"/>
        <w:rPr>
          <w:sz w:val="20"/>
          <w:szCs w:val="20"/>
          <w:color w:val="auto"/>
        </w:rPr>
      </w:pPr>
    </w:p>
    <w:p>
      <w:pPr>
        <w:ind w:left="1480" w:hanging="716"/>
        <w:spacing w:after="0"/>
        <w:tabs>
          <w:tab w:leader="none" w:pos="1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Veracyte, Inc. for the quarter ended September 30, 2024;</w:t>
      </w:r>
    </w:p>
    <w:p>
      <w:pPr>
        <w:spacing w:after="0" w:line="218" w:lineRule="exact"/>
        <w:rPr>
          <w:rFonts w:ascii="Times New Roman" w:cs="Times New Roman" w:eastAsia="Times New Roman" w:hAnsi="Times New Roman"/>
          <w:sz w:val="18"/>
          <w:szCs w:val="18"/>
          <w:color w:val="auto"/>
        </w:rPr>
      </w:pPr>
    </w:p>
    <w:p>
      <w:pPr>
        <w:ind w:right="140" w:firstLine="764"/>
        <w:spacing w:after="0" w:line="261" w:lineRule="auto"/>
        <w:tabs>
          <w:tab w:leader="none" w:pos="146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300" w:firstLine="764"/>
        <w:spacing w:after="0" w:line="275" w:lineRule="auto"/>
        <w:tabs>
          <w:tab w:leader="none" w:pos="146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right="160" w:firstLine="764"/>
        <w:spacing w:after="0" w:line="261" w:lineRule="auto"/>
        <w:tabs>
          <w:tab w:leader="none" w:pos="14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right="120" w:firstLine="1442"/>
        <w:spacing w:after="0" w:line="261" w:lineRule="auto"/>
        <w:tabs>
          <w:tab w:leader="none" w:pos="215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140" w:firstLine="1442"/>
        <w:spacing w:after="0" w:line="261" w:lineRule="auto"/>
        <w:tabs>
          <w:tab w:leader="none" w:pos="21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20" w:firstLine="1442"/>
        <w:spacing w:after="0" w:line="305" w:lineRule="auto"/>
        <w:tabs>
          <w:tab w:leader="none" w:pos="215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Times New Roman" w:cs="Times New Roman" w:eastAsia="Times New Roman" w:hAnsi="Times New Roman"/>
          <w:sz w:val="17"/>
          <w:szCs w:val="17"/>
          <w:color w:val="auto"/>
        </w:rPr>
      </w:pPr>
    </w:p>
    <w:p>
      <w:pPr>
        <w:ind w:right="140" w:firstLine="1442"/>
        <w:spacing w:after="0" w:line="261" w:lineRule="auto"/>
        <w:tabs>
          <w:tab w:leader="none" w:pos="21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40" w:firstLine="764"/>
        <w:spacing w:after="0" w:line="305" w:lineRule="auto"/>
        <w:tabs>
          <w:tab w:leader="none" w:pos="146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Times New Roman" w:cs="Times New Roman" w:eastAsia="Times New Roman" w:hAnsi="Times New Roman"/>
          <w:sz w:val="17"/>
          <w:szCs w:val="17"/>
          <w:color w:val="auto"/>
        </w:rPr>
      </w:pPr>
    </w:p>
    <w:p>
      <w:pPr>
        <w:ind w:right="20" w:firstLine="1442"/>
        <w:spacing w:after="0" w:line="275" w:lineRule="auto"/>
        <w:tabs>
          <w:tab w:leader="none" w:pos="21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right="20" w:firstLine="1442"/>
        <w:spacing w:after="0" w:line="275" w:lineRule="auto"/>
        <w:tabs>
          <w:tab w:leader="none" w:pos="215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20"/>
        <w:spacing w:after="0"/>
        <w:tabs>
          <w:tab w:leader="none" w:pos="2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7, 2024</w:t>
      </w:r>
    </w:p>
    <w:p>
      <w:pPr>
        <w:spacing w:after="0" w:line="4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32385</wp:posOffset>
            </wp:positionV>
            <wp:extent cx="24822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82215" cy="8255"/>
                    </a:xfrm>
                    <a:prstGeom prst="rect">
                      <a:avLst/>
                    </a:prstGeom>
                    <a:noFill/>
                  </pic:spPr>
                </pic:pic>
              </a:graphicData>
            </a:graphic>
          </wp:anchor>
        </w:drawing>
      </w:r>
    </w:p>
    <w:p>
      <w:pPr>
        <w:spacing w:after="0" w:line="3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Rebecca Chambers</w:t>
      </w:r>
    </w:p>
    <w:p>
      <w:pPr>
        <w:spacing w:after="0" w:line="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4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77"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9" w:lineRule="exact"/>
        <w:rPr>
          <w:sz w:val="20"/>
          <w:szCs w:val="20"/>
          <w:color w:val="auto"/>
        </w:rPr>
      </w:pPr>
    </w:p>
    <w:p>
      <w:pPr>
        <w:ind w:right="240" w:firstLine="75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Veracyte, Inc. (the “Company”) on Form 10-Q for the quarter ended September 30, 2024,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1440" w:hanging="317"/>
        <w:spacing w:after="0"/>
        <w:tabs>
          <w:tab w:leader="none" w:pos="1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5" w:lineRule="exact"/>
        <w:rPr>
          <w:rFonts w:ascii="Times New Roman" w:cs="Times New Roman" w:eastAsia="Times New Roman" w:hAnsi="Times New Roman"/>
          <w:sz w:val="18"/>
          <w:szCs w:val="18"/>
          <w:color w:val="auto"/>
        </w:rPr>
      </w:pPr>
    </w:p>
    <w:p>
      <w:pPr>
        <w:ind w:left="1440" w:right="280" w:hanging="317"/>
        <w:spacing w:after="0" w:line="275" w:lineRule="auto"/>
        <w:tabs>
          <w:tab w:leader="none" w:pos="14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4" w:lineRule="exact"/>
        <w:rPr>
          <w:sz w:val="20"/>
          <w:szCs w:val="20"/>
          <w:color w:val="auto"/>
        </w:rPr>
      </w:pPr>
    </w:p>
    <w:p>
      <w:pPr>
        <w:ind w:left="20"/>
        <w:spacing w:after="0"/>
        <w:tabs>
          <w:tab w:leader="none" w:pos="29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7, 2024</w:t>
      </w:r>
    </w:p>
    <w:p>
      <w:pPr>
        <w:spacing w:after="0" w:line="29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32385</wp:posOffset>
            </wp:positionV>
            <wp:extent cx="19500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Marc Stapley</w:t>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4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7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9" w:lineRule="exact"/>
        <w:rPr>
          <w:sz w:val="20"/>
          <w:szCs w:val="20"/>
          <w:color w:val="auto"/>
        </w:rPr>
      </w:pPr>
    </w:p>
    <w:p>
      <w:pPr>
        <w:ind w:right="240" w:firstLine="75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Veracyte, Inc. (the “Company”) on Form 10-Q for the quarter ended September 30, 2024,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1440" w:hanging="317"/>
        <w:spacing w:after="0"/>
        <w:tabs>
          <w:tab w:leader="none" w:pos="1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5" w:lineRule="exact"/>
        <w:rPr>
          <w:rFonts w:ascii="Times New Roman" w:cs="Times New Roman" w:eastAsia="Times New Roman" w:hAnsi="Times New Roman"/>
          <w:sz w:val="18"/>
          <w:szCs w:val="18"/>
          <w:color w:val="auto"/>
        </w:rPr>
      </w:pPr>
    </w:p>
    <w:p>
      <w:pPr>
        <w:ind w:left="1440" w:right="280" w:hanging="317"/>
        <w:spacing w:after="0" w:line="275" w:lineRule="auto"/>
        <w:tabs>
          <w:tab w:leader="none" w:pos="14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4" w:lineRule="exact"/>
        <w:rPr>
          <w:sz w:val="20"/>
          <w:szCs w:val="20"/>
          <w:color w:val="auto"/>
        </w:rPr>
      </w:pPr>
    </w:p>
    <w:p>
      <w:pPr>
        <w:ind w:left="20"/>
        <w:spacing w:after="0"/>
        <w:tabs>
          <w:tab w:leader="none" w:pos="29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7, 2024</w:t>
      </w:r>
    </w:p>
    <w:p>
      <w:pPr>
        <w:spacing w:after="0" w:line="29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32385</wp:posOffset>
            </wp:positionV>
            <wp:extent cx="2533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33015" cy="8255"/>
                    </a:xfrm>
                    <a:prstGeom prst="rect">
                      <a:avLst/>
                    </a:prstGeom>
                    <a:noFill/>
                  </pic:spPr>
                </pic:pic>
              </a:graphicData>
            </a:graphic>
          </wp:anchor>
        </w:drawing>
      </w:r>
    </w:p>
    <w:p>
      <w:pPr>
        <w:spacing w:after="0" w:line="3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Rebecca Chambers</w:t>
      </w:r>
    </w:p>
    <w:p>
      <w:pPr>
        <w:spacing w:after="0" w:line="3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4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2024-11-07T07:11:48Z</dcterms:created>
  <dcterms:modified xsi:type="dcterms:W3CDTF">2024-11-07T07:11:48Z</dcterms:modified>
</cp:coreProperties>
</file>