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________________________________</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3780" w:right="1720" w:hanging="3741"/>
        <w:spacing w:after="0" w:line="438" w:lineRule="auto"/>
        <w:tabs>
          <w:tab w:leader="none" w:pos="36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-484505</wp:posOffset>
            </wp:positionV>
            <wp:extent cx="21399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995" cy="171450"/>
                    </a:xfrm>
                    <a:prstGeom prst="rect">
                      <a:avLst/>
                    </a:prstGeom>
                    <a:noFill/>
                  </pic:spPr>
                </pic:pic>
              </a:graphicData>
            </a:graphic>
          </wp:anchor>
        </w:drawing>
      </w:r>
    </w:p>
    <w:p>
      <w:pPr>
        <w:spacing w:after="0" w:line="278" w:lineRule="exact"/>
        <w:rPr>
          <w:sz w:val="24"/>
          <w:szCs w:val="24"/>
          <w:color w:val="auto"/>
        </w:rPr>
      </w:pPr>
    </w:p>
    <w:p>
      <w:pPr>
        <w:ind w:left="380" w:hanging="341"/>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21399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995" cy="17145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7360" w:type="dxa"/>
            <w:vAlign w:val="bottom"/>
            <w:gridSpan w:val="3"/>
          </w:tcPr>
          <w:p>
            <w:pPr>
              <w:jc w:val="center"/>
              <w:ind w:right="3722"/>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3840" w:type="dxa"/>
            <w:vAlign w:val="bottom"/>
          </w:tcPr>
          <w:p>
            <w:pPr>
              <w:spacing w:after="0"/>
              <w:rPr>
                <w:sz w:val="20"/>
                <w:szCs w:val="20"/>
                <w:color w:val="auto"/>
              </w:rPr>
            </w:pPr>
          </w:p>
        </w:tc>
        <w:tc>
          <w:tcPr>
            <w:tcW w:w="7360" w:type="dxa"/>
            <w:vAlign w:val="bottom"/>
            <w:gridSpan w:val="3"/>
          </w:tcPr>
          <w:p>
            <w:pPr>
              <w:jc w:val="right"/>
              <w:ind w:right="4062"/>
              <w:spacing w:after="0"/>
              <w:rPr>
                <w:sz w:val="20"/>
                <w:szCs w:val="20"/>
                <w:color w:val="auto"/>
              </w:rPr>
            </w:pPr>
            <w:r>
              <w:rPr>
                <w:rFonts w:ascii="Arial" w:cs="Arial" w:eastAsia="Arial" w:hAnsi="Arial"/>
                <w:sz w:val="18"/>
                <w:szCs w:val="18"/>
                <w:color w:val="auto"/>
                <w:w w:val="99"/>
              </w:rPr>
              <w:t>________________________________</w:t>
            </w:r>
          </w:p>
        </w:tc>
      </w:tr>
      <w:tr>
        <w:trPr>
          <w:trHeight w:val="562"/>
        </w:trPr>
        <w:tc>
          <w:tcPr>
            <w:tcW w:w="3840" w:type="dxa"/>
            <w:vAlign w:val="bottom"/>
          </w:tcPr>
          <w:p>
            <w:pPr>
              <w:spacing w:after="0"/>
              <w:rPr>
                <w:sz w:val="24"/>
                <w:szCs w:val="24"/>
                <w:color w:val="auto"/>
              </w:rPr>
            </w:pPr>
          </w:p>
        </w:tc>
        <w:tc>
          <w:tcPr>
            <w:tcW w:w="7360" w:type="dxa"/>
            <w:vAlign w:val="bottom"/>
            <w:gridSpan w:val="3"/>
          </w:tcPr>
          <w:p>
            <w:pPr>
              <w:jc w:val="center"/>
              <w:ind w:right="3722"/>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3840" w:type="dxa"/>
            <w:vAlign w:val="bottom"/>
          </w:tcPr>
          <w:p>
            <w:pPr>
              <w:spacing w:after="0"/>
              <w:rPr>
                <w:sz w:val="14"/>
                <w:szCs w:val="14"/>
                <w:color w:val="auto"/>
              </w:rPr>
            </w:pPr>
          </w:p>
        </w:tc>
        <w:tc>
          <w:tcPr>
            <w:tcW w:w="7360" w:type="dxa"/>
            <w:vAlign w:val="bottom"/>
            <w:gridSpan w:val="3"/>
          </w:tcPr>
          <w:p>
            <w:pPr>
              <w:jc w:val="center"/>
              <w:ind w:right="3702"/>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3840" w:type="dxa"/>
            <w:vAlign w:val="bottom"/>
          </w:tcPr>
          <w:p>
            <w:pPr>
              <w:spacing w:after="0"/>
              <w:rPr>
                <w:sz w:val="20"/>
                <w:szCs w:val="20"/>
                <w:color w:val="auto"/>
              </w:rPr>
            </w:pPr>
          </w:p>
        </w:tc>
        <w:tc>
          <w:tcPr>
            <w:tcW w:w="7360" w:type="dxa"/>
            <w:vAlign w:val="bottom"/>
            <w:gridSpan w:val="3"/>
          </w:tcPr>
          <w:p>
            <w:pPr>
              <w:jc w:val="right"/>
              <w:ind w:right="4082"/>
              <w:spacing w:after="0"/>
              <w:rPr>
                <w:sz w:val="20"/>
                <w:szCs w:val="20"/>
                <w:color w:val="auto"/>
              </w:rPr>
            </w:pPr>
            <w:r>
              <w:rPr>
                <w:rFonts w:ascii="Arial" w:cs="Arial" w:eastAsia="Arial" w:hAnsi="Arial"/>
                <w:sz w:val="18"/>
                <w:szCs w:val="18"/>
                <w:color w:val="auto"/>
                <w:w w:val="99"/>
              </w:rPr>
              <w:t>________________________________</w:t>
            </w:r>
          </w:p>
        </w:tc>
      </w:tr>
      <w:tr>
        <w:trPr>
          <w:trHeight w:val="189"/>
        </w:trPr>
        <w:tc>
          <w:tcPr>
            <w:tcW w:w="3840" w:type="dxa"/>
            <w:vAlign w:val="bottom"/>
          </w:tcPr>
          <w:p>
            <w:pPr>
              <w:spacing w:after="0"/>
              <w:rPr>
                <w:sz w:val="16"/>
                <w:szCs w:val="16"/>
                <w:color w:val="auto"/>
              </w:rPr>
            </w:pPr>
          </w:p>
        </w:tc>
        <w:tc>
          <w:tcPr>
            <w:tcW w:w="1980" w:type="dxa"/>
            <w:vAlign w:val="bottom"/>
            <w:gridSpan w:val="2"/>
          </w:tcPr>
          <w:p>
            <w:pPr>
              <w:spacing w:after="0"/>
              <w:rPr>
                <w:sz w:val="16"/>
                <w:szCs w:val="16"/>
                <w:color w:val="auto"/>
              </w:rPr>
            </w:pPr>
          </w:p>
        </w:tc>
        <w:tc>
          <w:tcPr>
            <w:tcW w:w="5380" w:type="dxa"/>
            <w:vAlign w:val="bottom"/>
          </w:tcPr>
          <w:p>
            <w:pPr>
              <w:spacing w:after="0"/>
              <w:rPr>
                <w:sz w:val="16"/>
                <w:szCs w:val="16"/>
                <w:color w:val="auto"/>
              </w:rPr>
            </w:pPr>
          </w:p>
        </w:tc>
      </w:tr>
      <w:tr>
        <w:trPr>
          <w:trHeight w:val="250"/>
        </w:trPr>
        <w:tc>
          <w:tcPr>
            <w:tcW w:w="3840" w:type="dxa"/>
            <w:vAlign w:val="bottom"/>
            <w:tcBorders>
              <w:bottom w:val="single" w:sz="8" w:color="DDDDDD"/>
            </w:tcBorders>
            <w:shd w:val="clear" w:color="auto" w:fill="DDDDDD"/>
          </w:tcPr>
          <w:p>
            <w:pPr>
              <w:jc w:val="center"/>
              <w:ind w:left="1522"/>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Borders>
              <w:bottom w:val="single" w:sz="8" w:color="DDDDDD"/>
            </w:tcBorders>
            <w:shd w:val="clear" w:color="auto" w:fill="DDDDDD"/>
          </w:tcPr>
          <w:p>
            <w:pPr>
              <w:spacing w:after="0"/>
              <w:rPr>
                <w:sz w:val="21"/>
                <w:szCs w:val="21"/>
                <w:color w:val="auto"/>
              </w:rPr>
            </w:pPr>
          </w:p>
        </w:tc>
        <w:tc>
          <w:tcPr>
            <w:tcW w:w="400" w:type="dxa"/>
            <w:vAlign w:val="bottom"/>
          </w:tcPr>
          <w:p>
            <w:pPr>
              <w:spacing w:after="0"/>
              <w:rPr>
                <w:sz w:val="21"/>
                <w:szCs w:val="21"/>
                <w:color w:val="auto"/>
              </w:rPr>
            </w:pPr>
          </w:p>
        </w:tc>
        <w:tc>
          <w:tcPr>
            <w:tcW w:w="5380" w:type="dxa"/>
            <w:vAlign w:val="bottom"/>
            <w:tcBorders>
              <w:bottom w:val="single" w:sz="8" w:color="DDDDDD"/>
            </w:tcBorders>
            <w:shd w:val="clear" w:color="auto" w:fill="DDDDDD"/>
          </w:tcPr>
          <w:p>
            <w:pPr>
              <w:jc w:val="center"/>
              <w:spacing w:after="0"/>
              <w:rPr>
                <w:sz w:val="20"/>
                <w:szCs w:val="20"/>
                <w:color w:val="auto"/>
              </w:rPr>
            </w:pPr>
            <w:r>
              <w:rPr>
                <w:rFonts w:ascii="Arial" w:cs="Arial" w:eastAsia="Arial" w:hAnsi="Arial"/>
                <w:sz w:val="18"/>
                <w:szCs w:val="18"/>
                <w:b w:val="1"/>
                <w:bCs w:val="1"/>
                <w:color w:val="auto"/>
                <w:w w:val="89"/>
              </w:rPr>
              <w:t>20-5455398</w:t>
            </w:r>
          </w:p>
        </w:tc>
      </w:tr>
      <w:tr>
        <w:trPr>
          <w:trHeight w:val="190"/>
        </w:trPr>
        <w:tc>
          <w:tcPr>
            <w:tcW w:w="3840" w:type="dxa"/>
            <w:vAlign w:val="bottom"/>
          </w:tcPr>
          <w:p>
            <w:pPr>
              <w:jc w:val="center"/>
              <w:ind w:left="1502"/>
              <w:spacing w:after="0"/>
              <w:rPr>
                <w:sz w:val="20"/>
                <w:szCs w:val="20"/>
                <w:color w:val="auto"/>
              </w:rPr>
            </w:pPr>
            <w:r>
              <w:rPr>
                <w:rFonts w:ascii="Arial" w:cs="Arial" w:eastAsia="Arial" w:hAnsi="Arial"/>
                <w:sz w:val="14"/>
                <w:szCs w:val="14"/>
                <w:color w:val="auto"/>
                <w:w w:val="94"/>
              </w:rPr>
              <w:t>(State or other jurisdiction of</w:t>
            </w:r>
          </w:p>
        </w:tc>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5"/>
              </w:rPr>
              <w:t>(I.R.S. Employer</w:t>
            </w:r>
          </w:p>
        </w:tc>
      </w:tr>
      <w:tr>
        <w:trPr>
          <w:trHeight w:val="203"/>
        </w:trPr>
        <w:tc>
          <w:tcPr>
            <w:tcW w:w="3840" w:type="dxa"/>
            <w:vAlign w:val="bottom"/>
          </w:tcPr>
          <w:p>
            <w:pPr>
              <w:jc w:val="center"/>
              <w:ind w:left="1502"/>
              <w:spacing w:after="0"/>
              <w:rPr>
                <w:sz w:val="20"/>
                <w:szCs w:val="20"/>
                <w:color w:val="auto"/>
              </w:rPr>
            </w:pPr>
            <w:r>
              <w:rPr>
                <w:rFonts w:ascii="Arial" w:cs="Arial" w:eastAsia="Arial" w:hAnsi="Arial"/>
                <w:sz w:val="14"/>
                <w:szCs w:val="14"/>
                <w:color w:val="auto"/>
                <w:w w:val="95"/>
              </w:rPr>
              <w:t>incorporation or organization)</w:t>
            </w: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r>
      <w:tr>
        <w:trPr>
          <w:trHeight w:val="475"/>
        </w:trPr>
        <w:tc>
          <w:tcPr>
            <w:tcW w:w="3840" w:type="dxa"/>
            <w:vAlign w:val="bottom"/>
          </w:tcPr>
          <w:p>
            <w:pPr>
              <w:spacing w:after="0"/>
              <w:rPr>
                <w:sz w:val="24"/>
                <w:szCs w:val="24"/>
                <w:color w:val="auto"/>
              </w:rPr>
            </w:pPr>
          </w:p>
        </w:tc>
        <w:tc>
          <w:tcPr>
            <w:tcW w:w="7360" w:type="dxa"/>
            <w:vAlign w:val="bottom"/>
            <w:gridSpan w:val="3"/>
          </w:tcPr>
          <w:p>
            <w:pPr>
              <w:jc w:val="center"/>
              <w:ind w:right="3702"/>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3840" w:type="dxa"/>
            <w:vAlign w:val="bottom"/>
          </w:tcPr>
          <w:p>
            <w:pPr>
              <w:spacing w:after="0"/>
              <w:rPr>
                <w:sz w:val="14"/>
                <w:szCs w:val="14"/>
                <w:color w:val="auto"/>
              </w:rPr>
            </w:pPr>
          </w:p>
        </w:tc>
        <w:tc>
          <w:tcPr>
            <w:tcW w:w="7360" w:type="dxa"/>
            <w:vAlign w:val="bottom"/>
            <w:gridSpan w:val="3"/>
          </w:tcPr>
          <w:p>
            <w:pPr>
              <w:jc w:val="center"/>
              <w:ind w:right="3722"/>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3840" w:type="dxa"/>
            <w:vAlign w:val="bottom"/>
          </w:tcPr>
          <w:p>
            <w:pPr>
              <w:spacing w:after="0"/>
              <w:rPr>
                <w:sz w:val="15"/>
                <w:szCs w:val="15"/>
                <w:color w:val="auto"/>
              </w:rPr>
            </w:pPr>
          </w:p>
        </w:tc>
        <w:tc>
          <w:tcPr>
            <w:tcW w:w="7360" w:type="dxa"/>
            <w:vAlign w:val="bottom"/>
            <w:gridSpan w:val="3"/>
          </w:tcPr>
          <w:p>
            <w:pPr>
              <w:jc w:val="center"/>
              <w:ind w:right="3722"/>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3840" w:type="dxa"/>
            <w:vAlign w:val="bottom"/>
          </w:tcPr>
          <w:p>
            <w:pPr>
              <w:spacing w:after="0"/>
              <w:rPr>
                <w:sz w:val="24"/>
                <w:szCs w:val="24"/>
                <w:color w:val="auto"/>
              </w:rPr>
            </w:pPr>
          </w:p>
        </w:tc>
        <w:tc>
          <w:tcPr>
            <w:tcW w:w="7360" w:type="dxa"/>
            <w:vAlign w:val="bottom"/>
            <w:gridSpan w:val="3"/>
          </w:tcPr>
          <w:p>
            <w:pPr>
              <w:jc w:val="right"/>
              <w:ind w:right="5042"/>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3840" w:type="dxa"/>
            <w:vAlign w:val="bottom"/>
          </w:tcPr>
          <w:p>
            <w:pPr>
              <w:spacing w:after="0"/>
              <w:rPr>
                <w:sz w:val="14"/>
                <w:szCs w:val="14"/>
                <w:color w:val="auto"/>
              </w:rPr>
            </w:pPr>
          </w:p>
        </w:tc>
        <w:tc>
          <w:tcPr>
            <w:tcW w:w="7360" w:type="dxa"/>
            <w:vAlign w:val="bottom"/>
            <w:gridSpan w:val="3"/>
          </w:tcPr>
          <w:p>
            <w:pPr>
              <w:jc w:val="center"/>
              <w:ind w:right="3722"/>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3840" w:type="dxa"/>
            <w:vAlign w:val="bottom"/>
          </w:tcPr>
          <w:p>
            <w:pPr>
              <w:spacing w:after="0"/>
              <w:rPr>
                <w:sz w:val="20"/>
                <w:szCs w:val="20"/>
                <w:color w:val="auto"/>
              </w:rPr>
            </w:pPr>
          </w:p>
        </w:tc>
        <w:tc>
          <w:tcPr>
            <w:tcW w:w="7360" w:type="dxa"/>
            <w:vAlign w:val="bottom"/>
            <w:gridSpan w:val="3"/>
          </w:tcPr>
          <w:p>
            <w:pPr>
              <w:jc w:val="right"/>
              <w:ind w:right="4042"/>
              <w:spacing w:after="0"/>
              <w:rPr>
                <w:sz w:val="20"/>
                <w:szCs w:val="20"/>
                <w:color w:val="auto"/>
              </w:rPr>
            </w:pPr>
            <w:r>
              <w:rPr>
                <w:rFonts w:ascii="Arial" w:cs="Arial" w:eastAsia="Arial" w:hAnsi="Arial"/>
                <w:sz w:val="18"/>
                <w:szCs w:val="18"/>
                <w:color w:val="auto"/>
              </w:rPr>
              <w:t>________________________________</w:t>
            </w: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Title of each class</w:t>
            </w:r>
          </w:p>
        </w:tc>
        <w:tc>
          <w:tcPr>
            <w:tcW w:w="2200" w:type="dxa"/>
            <w:vAlign w:val="bottom"/>
            <w:gridSpan w:val="2"/>
          </w:tcPr>
          <w:p>
            <w:pPr>
              <w:ind w:left="60"/>
              <w:spacing w:after="0"/>
              <w:rPr>
                <w:sz w:val="20"/>
                <w:szCs w:val="20"/>
                <w:color w:val="auto"/>
              </w:rPr>
            </w:pPr>
            <w:r>
              <w:rPr>
                <w:rFonts w:ascii="Arial" w:cs="Arial" w:eastAsia="Arial" w:hAnsi="Arial"/>
                <w:sz w:val="18"/>
                <w:szCs w:val="18"/>
                <w:b w:val="1"/>
                <w:bCs w:val="1"/>
                <w:color w:val="auto"/>
              </w:rPr>
              <w:t>Trading Symbol(s)</w:t>
            </w:r>
          </w:p>
        </w:tc>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0"/>
        </w:trPr>
        <w:tc>
          <w:tcPr>
            <w:tcW w:w="4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60" w:type="dxa"/>
            <w:vAlign w:val="bottom"/>
          </w:tcPr>
          <w:p>
            <w:pPr>
              <w:spacing w:after="0"/>
              <w:rPr>
                <w:sz w:val="19"/>
                <w:szCs w:val="19"/>
                <w:color w:val="auto"/>
              </w:rPr>
            </w:pPr>
          </w:p>
        </w:tc>
        <w:tc>
          <w:tcPr>
            <w:tcW w:w="2020" w:type="dxa"/>
            <w:vAlign w:val="bottom"/>
          </w:tcPr>
          <w:p>
            <w:pPr>
              <w:ind w:left="760"/>
              <w:spacing w:after="0"/>
              <w:rPr>
                <w:sz w:val="20"/>
                <w:szCs w:val="20"/>
                <w:color w:val="auto"/>
              </w:rPr>
            </w:pPr>
            <w:r>
              <w:rPr>
                <w:rFonts w:ascii="Arial" w:cs="Arial" w:eastAsia="Arial" w:hAnsi="Arial"/>
                <w:sz w:val="18"/>
                <w:szCs w:val="18"/>
                <w:color w:val="auto"/>
              </w:rPr>
              <w:t>VCYT</w:t>
            </w:r>
          </w:p>
        </w:tc>
        <w:tc>
          <w:tcPr>
            <w:tcW w:w="18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72" w:lineRule="exact"/>
        <w:rPr>
          <w:sz w:val="24"/>
          <w:szCs w:val="24"/>
          <w:color w:val="auto"/>
        </w:rPr>
      </w:pPr>
    </w:p>
    <w:p>
      <w:pPr>
        <w:jc w:val="both"/>
        <w:ind w:right="180" w:firstLine="243"/>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right="360" w:firstLine="243"/>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right="200" w:firstLine="243"/>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520" w:type="dxa"/>
            <w:vAlign w:val="bottom"/>
          </w:tcPr>
          <w:p>
            <w:pPr>
              <w:jc w:val="center"/>
              <w:ind w:right="8"/>
              <w:spacing w:after="0"/>
              <w:rPr>
                <w:sz w:val="20"/>
                <w:szCs w:val="20"/>
                <w:color w:val="auto"/>
              </w:rPr>
            </w:pPr>
            <w:r>
              <w:rPr>
                <w:rFonts w:ascii="Arial" w:cs="Arial" w:eastAsia="Arial" w:hAnsi="Arial"/>
                <w:sz w:val="14"/>
                <w:szCs w:val="14"/>
                <w:color w:val="auto"/>
                <w:w w:val="93"/>
              </w:rPr>
              <w:t>Large accelerated filer x</w:t>
            </w:r>
          </w:p>
        </w:tc>
        <w:tc>
          <w:tcPr>
            <w:tcW w:w="5720" w:type="dxa"/>
            <w:vAlign w:val="bottom"/>
          </w:tcPr>
          <w:p>
            <w:pPr>
              <w:jc w:val="center"/>
              <w:ind w:left="168"/>
              <w:spacing w:after="0"/>
              <w:rPr>
                <w:sz w:val="20"/>
                <w:szCs w:val="20"/>
                <w:color w:val="auto"/>
              </w:rPr>
            </w:pPr>
            <w:r>
              <w:rPr>
                <w:rFonts w:ascii="Arial" w:cs="Arial" w:eastAsia="Arial" w:hAnsi="Arial"/>
                <w:sz w:val="14"/>
                <w:szCs w:val="14"/>
                <w:color w:val="auto"/>
                <w:w w:val="96"/>
              </w:rPr>
              <w:t>Accelerated filer o</w:t>
            </w:r>
          </w:p>
        </w:tc>
      </w:tr>
      <w:tr>
        <w:trPr>
          <w:trHeight w:val="272"/>
        </w:trPr>
        <w:tc>
          <w:tcPr>
            <w:tcW w:w="5520" w:type="dxa"/>
            <w:vAlign w:val="bottom"/>
          </w:tcPr>
          <w:p>
            <w:pPr>
              <w:jc w:val="center"/>
              <w:ind w:right="28"/>
              <w:spacing w:after="0"/>
              <w:rPr>
                <w:sz w:val="20"/>
                <w:szCs w:val="20"/>
                <w:color w:val="auto"/>
              </w:rPr>
            </w:pPr>
            <w:r>
              <w:rPr>
                <w:rFonts w:ascii="Arial" w:cs="Arial" w:eastAsia="Arial" w:hAnsi="Arial"/>
                <w:sz w:val="14"/>
                <w:szCs w:val="14"/>
                <w:color w:val="auto"/>
                <w:w w:val="95"/>
              </w:rPr>
              <w:t>Non-accelerated filer o</w:t>
            </w:r>
          </w:p>
        </w:tc>
        <w:tc>
          <w:tcPr>
            <w:tcW w:w="5720" w:type="dxa"/>
            <w:vAlign w:val="bottom"/>
          </w:tcPr>
          <w:p>
            <w:pPr>
              <w:jc w:val="center"/>
              <w:ind w:left="188"/>
              <w:spacing w:after="0" w:line="161" w:lineRule="exact"/>
              <w:rPr>
                <w:sz w:val="20"/>
                <w:szCs w:val="20"/>
                <w:color w:val="auto"/>
              </w:rPr>
            </w:pPr>
            <w:r>
              <w:rPr>
                <w:rFonts w:ascii="Arial" w:cs="Arial" w:eastAsia="Arial" w:hAnsi="Arial"/>
                <w:sz w:val="14"/>
                <w:szCs w:val="14"/>
                <w:color w:val="auto"/>
                <w:w w:val="93"/>
              </w:rPr>
              <w:t xml:space="preserve">Smaller reporting company </w:t>
            </w:r>
            <w:r>
              <w:rPr>
                <w:rFonts w:ascii="MS PGothic" w:cs="MS PGothic" w:eastAsia="MS PGothic" w:hAnsi="MS PGothic"/>
                <w:sz w:val="14"/>
                <w:szCs w:val="14"/>
                <w:color w:val="auto"/>
                <w:w w:val="93"/>
              </w:rPr>
              <w:t>☐</w:t>
            </w:r>
          </w:p>
        </w:tc>
      </w:tr>
      <w:tr>
        <w:trPr>
          <w:trHeight w:val="256"/>
        </w:trPr>
        <w:tc>
          <w:tcPr>
            <w:tcW w:w="5520" w:type="dxa"/>
            <w:vAlign w:val="bottom"/>
          </w:tcPr>
          <w:p>
            <w:pPr>
              <w:spacing w:after="0"/>
              <w:rPr>
                <w:sz w:val="22"/>
                <w:szCs w:val="22"/>
                <w:color w:val="auto"/>
              </w:rPr>
            </w:pPr>
          </w:p>
        </w:tc>
        <w:tc>
          <w:tcPr>
            <w:tcW w:w="5720" w:type="dxa"/>
            <w:vAlign w:val="bottom"/>
          </w:tcPr>
          <w:p>
            <w:pPr>
              <w:jc w:val="center"/>
              <w:ind w:left="188"/>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r>
      <w:tr>
        <w:trPr>
          <w:trHeight w:val="989"/>
        </w:trPr>
        <w:tc>
          <w:tcPr>
            <w:tcW w:w="55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43"/>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4" w:lineRule="exact"/>
        <w:rPr>
          <w:sz w:val="20"/>
          <w:szCs w:val="20"/>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April 30, 2020, there were 50,053,437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15"/>
        </w:trPr>
        <w:tc>
          <w:tcPr>
            <w:tcW w:w="10220" w:type="dxa"/>
            <w:vAlign w:val="bottom"/>
            <w:gridSpan w:val="20"/>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100" w:type="dxa"/>
            <w:vAlign w:val="bottom"/>
            <w:gridSpan w:val="19"/>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Item 1. Condensed Consolidated </w:t>
              </w:r>
              <w:r>
                <w:rPr>
                  <w:rFonts w:ascii="Arial" w:cs="Arial" w:eastAsia="Arial" w:hAnsi="Arial"/>
                  <w:sz w:val="18"/>
                  <w:szCs w:val="18"/>
                  <w:u w:val="single" w:color="auto"/>
                  <w:color w:val="0000FF"/>
                </w:rPr>
                <w:t>Financial Statements (Unaudited)</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00" w:type="dxa"/>
            <w:vAlign w:val="bottom"/>
            <w:gridSpan w:val="18"/>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as of </w:t>
              </w:r>
              <w:r>
                <w:rPr>
                  <w:rFonts w:ascii="Arial" w:cs="Arial" w:eastAsia="Arial" w:hAnsi="Arial"/>
                  <w:sz w:val="18"/>
                  <w:szCs w:val="18"/>
                  <w:u w:val="single" w:color="auto"/>
                  <w:color w:val="0000FF"/>
                </w:rPr>
                <w:t>March 31, 2020 and December 31,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00" w:type="dxa"/>
            <w:vAlign w:val="bottom"/>
            <w:gridSpan w:val="18"/>
          </w:tcPr>
          <w:p>
            <w:pPr>
              <w:ind w:left="20"/>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 xml:space="preserve">Condensed Consolidated </w:t>
              </w:r>
              <w:r>
                <w:rPr>
                  <w:rFonts w:ascii="Arial" w:cs="Arial" w:eastAsia="Arial" w:hAnsi="Arial"/>
                  <w:sz w:val="18"/>
                  <w:szCs w:val="18"/>
                  <w:u w:val="single" w:color="auto"/>
                  <w:color w:val="0000FF"/>
                  <w:w w:val="92"/>
                </w:rPr>
                <w:t>Statements of Operations and Comprehensive Loss for the Three</w:t>
              </w:r>
              <w:r>
                <w:rPr>
                  <w:rFonts w:ascii="Arial" w:cs="Arial" w:eastAsia="Arial" w:hAnsi="Arial"/>
                  <w:sz w:val="18"/>
                  <w:szCs w:val="18"/>
                  <w:color w:val="0000FF"/>
                  <w:w w:val="92"/>
                </w:rPr>
                <w:t xml:space="preserve"> Month Periods Ended March 31, 2020 and</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0" w:type="dxa"/>
            <w:vAlign w:val="bottom"/>
            <w:gridSpan w:val="2"/>
          </w:tcPr>
          <w:p>
            <w:pPr>
              <w:spacing w:after="0"/>
              <w:rPr>
                <w:sz w:val="13"/>
                <w:szCs w:val="13"/>
                <w:color w:val="auto"/>
              </w:rPr>
            </w:pPr>
          </w:p>
        </w:tc>
        <w:tc>
          <w:tcPr>
            <w:tcW w:w="360" w:type="dxa"/>
            <w:vAlign w:val="bottom"/>
            <w:tcBorders>
              <w:top w:val="single" w:sz="8" w:color="0000FF"/>
              <w:bottom w:val="single" w:sz="8" w:color="0000FF"/>
            </w:tcBorders>
            <w:gridSpan w:val="2"/>
          </w:tcPr>
          <w:p>
            <w:pPr>
              <w:ind w:left="20"/>
              <w:spacing w:after="0" w:line="142"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2019</w:t>
              </w:r>
            </w:hyperlink>
          </w:p>
        </w:tc>
        <w:tc>
          <w:tcPr>
            <w:tcW w:w="14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900" w:type="dxa"/>
            <w:vAlign w:val="bottom"/>
            <w:gridSpan w:val="18"/>
          </w:tcPr>
          <w:p>
            <w:pPr>
              <w:ind w:left="20"/>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w:t>
              </w:r>
              <w:r>
                <w:rPr>
                  <w:rFonts w:ascii="Arial" w:cs="Arial" w:eastAsia="Arial" w:hAnsi="Arial"/>
                  <w:sz w:val="18"/>
                  <w:szCs w:val="18"/>
                  <w:u w:val="single" w:color="auto"/>
                  <w:color w:val="0000FF"/>
                </w:rPr>
                <w:t>Statements of Stockholders' Equity for the Three</w:t>
              </w:r>
              <w:r>
                <w:rPr>
                  <w:rFonts w:ascii="Arial" w:cs="Arial" w:eastAsia="Arial" w:hAnsi="Arial"/>
                  <w:sz w:val="18"/>
                  <w:szCs w:val="18"/>
                  <w:color w:val="0000FF"/>
                </w:rPr>
                <w:t xml:space="preserve"> Month Periods Ended March 31</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hyperlink>
            <w:r>
              <w:rPr>
                <w:rFonts w:ascii="Arial" w:cs="Arial" w:eastAsia="Arial" w:hAnsi="Arial"/>
                <w:sz w:val="18"/>
                <w:szCs w:val="18"/>
                <w:color w:val="0000FF"/>
              </w:rPr>
              <w:t xml:space="preserve">2020 </w:t>
            </w:r>
            <w:hyperlink w:anchor="page5">
              <w:r>
                <w:rPr>
                  <w:rFonts w:ascii="Arial" w:cs="Arial" w:eastAsia="Arial" w:hAnsi="Arial"/>
                  <w:sz w:val="18"/>
                  <w:szCs w:val="18"/>
                  <w:color w:val="0000FF"/>
                </w:rPr>
                <w:t>and 201</w:t>
              </w:r>
              <w:r>
                <w:rPr>
                  <w:rFonts w:ascii="Arial" w:cs="Arial" w:eastAsia="Arial" w:hAnsi="Arial"/>
                  <w:sz w:val="18"/>
                  <w:szCs w:val="18"/>
                  <w:u w:val="single" w:color="auto"/>
                  <w:color w:val="0000FF"/>
                </w:rPr>
                <w:t>9</w:t>
              </w:r>
            </w:hyperlink>
          </w:p>
        </w:tc>
        <w:tc>
          <w:tcPr>
            <w:tcW w:w="980" w:type="dxa"/>
            <w:vAlign w:val="bottom"/>
          </w:tcPr>
          <w:p>
            <w:pPr>
              <w:jc w:val="right"/>
              <w:spacing w:after="0" w:line="190"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900" w:type="dxa"/>
            <w:vAlign w:val="bottom"/>
            <w:gridSpan w:val="18"/>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 Periods Ended March 31, 2020 and 2019</w:t>
              </w:r>
            </w:hyperlink>
          </w:p>
        </w:tc>
        <w:tc>
          <w:tcPr>
            <w:tcW w:w="98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60" w:type="dxa"/>
            <w:vAlign w:val="bottom"/>
            <w:tcBorders>
              <w:top w:val="single" w:sz="8" w:color="0000FF"/>
            </w:tcBorders>
            <w:gridSpan w:val="9"/>
          </w:tcPr>
          <w:p>
            <w:pPr>
              <w:ind w:left="20"/>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280" w:type="dxa"/>
            <w:vAlign w:val="bottom"/>
          </w:tcPr>
          <w:p>
            <w:pPr>
              <w:spacing w:after="0"/>
              <w:rPr>
                <w:sz w:val="18"/>
                <w:szCs w:val="18"/>
                <w:color w:val="auto"/>
              </w:rPr>
            </w:pPr>
          </w:p>
        </w:tc>
        <w:tc>
          <w:tcPr>
            <w:tcW w:w="880" w:type="dxa"/>
            <w:vAlign w:val="bottom"/>
            <w:tcBorders>
              <w:top w:val="single" w:sz="8" w:color="0000FF"/>
            </w:tcBorders>
            <w:gridSpan w:val="3"/>
          </w:tcPr>
          <w:p>
            <w:pPr>
              <w:spacing w:after="0"/>
              <w:rPr>
                <w:sz w:val="18"/>
                <w:szCs w:val="18"/>
                <w:color w:val="auto"/>
              </w:rPr>
            </w:pPr>
          </w:p>
        </w:tc>
        <w:tc>
          <w:tcPr>
            <w:tcW w:w="1680" w:type="dxa"/>
            <w:vAlign w:val="bottom"/>
            <w:gridSpan w:val="5"/>
          </w:tcPr>
          <w:p>
            <w:pPr>
              <w:spacing w:after="0"/>
              <w:rPr>
                <w:sz w:val="18"/>
                <w:szCs w:val="18"/>
                <w:color w:val="auto"/>
              </w:rPr>
            </w:pPr>
          </w:p>
        </w:tc>
        <w:tc>
          <w:tcPr>
            <w:tcW w:w="9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60" w:type="dxa"/>
            <w:vAlign w:val="bottom"/>
            <w:gridSpan w:val="5"/>
            <w:shd w:val="clear" w:color="auto" w:fill="0000FF"/>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0" w:type="dxa"/>
            <w:vAlign w:val="bottom"/>
            <w:gridSpan w:val="3"/>
          </w:tcPr>
          <w:p>
            <w:pPr>
              <w:ind w:left="120"/>
              <w:spacing w:after="0"/>
              <w:rPr>
                <w:rFonts w:ascii="Arial" w:cs="Arial" w:eastAsia="Arial" w:hAnsi="Arial"/>
                <w:sz w:val="18"/>
                <w:szCs w:val="18"/>
                <w:u w:val="single" w:color="auto"/>
                <w:color w:val="0000FF"/>
                <w:w w:val="94"/>
              </w:rPr>
            </w:pPr>
            <w:hyperlink w:anchor="page21">
              <w:r>
                <w:rPr>
                  <w:rFonts w:ascii="Arial" w:cs="Arial" w:eastAsia="Arial" w:hAnsi="Arial"/>
                  <w:sz w:val="18"/>
                  <w:szCs w:val="18"/>
                  <w:u w:val="single" w:color="auto"/>
                  <w:color w:val="0000FF"/>
                  <w:w w:val="94"/>
                </w:rPr>
                <w:t>Item 2.</w:t>
              </w:r>
            </w:hyperlink>
          </w:p>
        </w:tc>
        <w:tc>
          <w:tcPr>
            <w:tcW w:w="9560" w:type="dxa"/>
            <w:vAlign w:val="bottom"/>
            <w:gridSpan w:val="17"/>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tc>
        <w:tc>
          <w:tcPr>
            <w:tcW w:w="0" w:type="dxa"/>
            <w:vAlign w:val="bottom"/>
          </w:tcPr>
          <w:p>
            <w:pPr>
              <w:spacing w:after="0"/>
              <w:rPr>
                <w:sz w:val="1"/>
                <w:szCs w:val="1"/>
                <w:color w:val="auto"/>
              </w:rPr>
            </w:pPr>
          </w:p>
        </w:tc>
      </w:tr>
      <w:tr>
        <w:trPr>
          <w:trHeight w:val="230"/>
        </w:trPr>
        <w:tc>
          <w:tcPr>
            <w:tcW w:w="660" w:type="dxa"/>
            <w:vAlign w:val="bottom"/>
            <w:gridSpan w:val="3"/>
          </w:tcPr>
          <w:p>
            <w:pPr>
              <w:ind w:left="120"/>
              <w:spacing w:after="0"/>
              <w:rPr>
                <w:rFonts w:ascii="Arial" w:cs="Arial" w:eastAsia="Arial" w:hAnsi="Arial"/>
                <w:sz w:val="18"/>
                <w:szCs w:val="18"/>
                <w:u w:val="single" w:color="auto"/>
                <w:color w:val="0000FF"/>
                <w:w w:val="94"/>
              </w:rPr>
            </w:pPr>
            <w:hyperlink w:anchor="page38">
              <w:r>
                <w:rPr>
                  <w:rFonts w:ascii="Arial" w:cs="Arial" w:eastAsia="Arial" w:hAnsi="Arial"/>
                  <w:sz w:val="18"/>
                  <w:szCs w:val="18"/>
                  <w:u w:val="single" w:color="auto"/>
                  <w:color w:val="0000FF"/>
                  <w:w w:val="94"/>
                </w:rPr>
                <w:t>Item 3.</w:t>
              </w:r>
            </w:hyperlink>
          </w:p>
        </w:tc>
        <w:tc>
          <w:tcPr>
            <w:tcW w:w="9560" w:type="dxa"/>
            <w:vAlign w:val="bottom"/>
            <w:gridSpan w:val="17"/>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25"/>
        </w:trPr>
        <w:tc>
          <w:tcPr>
            <w:tcW w:w="660" w:type="dxa"/>
            <w:vAlign w:val="bottom"/>
            <w:gridSpan w:val="3"/>
          </w:tcPr>
          <w:p>
            <w:pPr>
              <w:ind w:left="120"/>
              <w:spacing w:after="0"/>
              <w:rPr>
                <w:rFonts w:ascii="Arial" w:cs="Arial" w:eastAsia="Arial" w:hAnsi="Arial"/>
                <w:sz w:val="18"/>
                <w:szCs w:val="18"/>
                <w:u w:val="single" w:color="auto"/>
                <w:color w:val="0000FF"/>
                <w:w w:val="94"/>
              </w:rPr>
            </w:pPr>
            <w:hyperlink w:anchor="page38">
              <w:r>
                <w:rPr>
                  <w:rFonts w:ascii="Arial" w:cs="Arial" w:eastAsia="Arial" w:hAnsi="Arial"/>
                  <w:sz w:val="18"/>
                  <w:szCs w:val="18"/>
                  <w:u w:val="single" w:color="auto"/>
                  <w:color w:val="0000FF"/>
                  <w:w w:val="94"/>
                </w:rPr>
                <w:t>Item 4.</w:t>
              </w:r>
            </w:hyperlink>
          </w:p>
        </w:tc>
        <w:tc>
          <w:tcPr>
            <w:tcW w:w="9560" w:type="dxa"/>
            <w:vAlign w:val="bottom"/>
            <w:gridSpan w:val="17"/>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Controls and Procedures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34"/>
        </w:trPr>
        <w:tc>
          <w:tcPr>
            <w:tcW w:w="10220" w:type="dxa"/>
            <w:vAlign w:val="bottom"/>
            <w:gridSpan w:val="20"/>
          </w:tcPr>
          <w:p>
            <w:pPr>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 OTHER INFORMATION</w:t>
              </w:r>
            </w:hyperlink>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20" w:type="dxa"/>
            <w:vAlign w:val="bottom"/>
            <w:gridSpan w:val="20"/>
          </w:tcPr>
          <w:p>
            <w:pPr>
              <w:ind w:left="1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1A. Risk Factors</w:t>
              </w:r>
            </w:hyperlink>
          </w:p>
        </w:tc>
        <w:tc>
          <w:tcPr>
            <w:tcW w:w="98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29"/>
        </w:trPr>
        <w:tc>
          <w:tcPr>
            <w:tcW w:w="660" w:type="dxa"/>
            <w:vAlign w:val="bottom"/>
            <w:gridSpan w:val="3"/>
          </w:tcPr>
          <w:p>
            <w:pPr>
              <w:ind w:left="120"/>
              <w:spacing w:after="0"/>
              <w:rPr>
                <w:rFonts w:ascii="Arial" w:cs="Arial" w:eastAsia="Arial" w:hAnsi="Arial"/>
                <w:sz w:val="18"/>
                <w:szCs w:val="18"/>
                <w:u w:val="single" w:color="auto"/>
                <w:color w:val="0000FF"/>
                <w:w w:val="94"/>
              </w:rPr>
            </w:pPr>
            <w:hyperlink w:anchor="page66">
              <w:r>
                <w:rPr>
                  <w:rFonts w:ascii="Arial" w:cs="Arial" w:eastAsia="Arial" w:hAnsi="Arial"/>
                  <w:sz w:val="18"/>
                  <w:szCs w:val="18"/>
                  <w:u w:val="single" w:color="auto"/>
                  <w:color w:val="0000FF"/>
                  <w:w w:val="94"/>
                </w:rPr>
                <w:t>Item 6.</w:t>
              </w:r>
            </w:hyperlink>
          </w:p>
        </w:tc>
        <w:tc>
          <w:tcPr>
            <w:tcW w:w="9560" w:type="dxa"/>
            <w:vAlign w:val="bottom"/>
            <w:gridSpan w:val="17"/>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Exhibits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64</w:t>
              </w:r>
            </w:hyperlink>
          </w:p>
        </w:tc>
        <w:tc>
          <w:tcPr>
            <w:tcW w:w="0" w:type="dxa"/>
            <w:vAlign w:val="bottom"/>
          </w:tcPr>
          <w:p>
            <w:pPr>
              <w:spacing w:after="0"/>
              <w:rPr>
                <w:sz w:val="1"/>
                <w:szCs w:val="1"/>
                <w:color w:val="auto"/>
              </w:rPr>
            </w:pPr>
          </w:p>
        </w:tc>
      </w:tr>
      <w:tr>
        <w:trPr>
          <w:trHeight w:val="230"/>
        </w:trPr>
        <w:tc>
          <w:tcPr>
            <w:tcW w:w="10220" w:type="dxa"/>
            <w:vAlign w:val="bottom"/>
            <w:gridSpan w:val="20"/>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SIGNATURES</w:t>
              </w:r>
            </w:hyperlink>
          </w:p>
        </w:tc>
        <w:tc>
          <w:tcPr>
            <w:tcW w:w="98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159,317</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19,091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19,329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Supplies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181,362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187,687</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 operating lease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Finite-lived intangible assets, net</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63,744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65,019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63"/>
        </w:trPr>
        <w:tc>
          <w:tcPr>
            <w:tcW w:w="8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267,100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10,079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liability</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19,194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net of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37"/>
        </w:trPr>
        <w:tc>
          <w:tcPr>
            <w:tcW w:w="82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36,678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35,757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Preferred stock, $0.001 par value; 5,000,000 shares authorized, no shares issued and outstanding as of March</w:t>
            </w:r>
          </w:p>
        </w:tc>
        <w:tc>
          <w:tcPr>
            <w:tcW w:w="2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31, 2020 and December 31, 2019</w:t>
            </w:r>
          </w:p>
        </w:tc>
        <w:tc>
          <w:tcPr>
            <w:tcW w:w="2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20"/>
              <w:spacing w:after="0" w:line="176" w:lineRule="exact"/>
              <w:rPr>
                <w:sz w:val="20"/>
                <w:szCs w:val="20"/>
                <w:color w:val="auto"/>
              </w:rPr>
            </w:pPr>
            <w:r>
              <w:rPr>
                <w:rFonts w:ascii="Arial" w:cs="Arial" w:eastAsia="Arial" w:hAnsi="Arial"/>
                <w:sz w:val="18"/>
                <w:szCs w:val="18"/>
                <w:color w:val="auto"/>
                <w:w w:val="92"/>
              </w:rPr>
              <w:t>Common stock, $0.001 par value; 125,000,000 shares authorized, 49,999,923 and 49,625,341 shares issued</w:t>
            </w:r>
          </w:p>
        </w:tc>
        <w:tc>
          <w:tcPr>
            <w:tcW w:w="26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240" w:type="dxa"/>
            <w:vAlign w:val="bottom"/>
          </w:tcPr>
          <w:p>
            <w:pPr>
              <w:ind w:left="400"/>
              <w:spacing w:after="0"/>
              <w:rPr>
                <w:sz w:val="20"/>
                <w:szCs w:val="20"/>
                <w:color w:val="auto"/>
              </w:rPr>
            </w:pPr>
            <w:r>
              <w:rPr>
                <w:rFonts w:ascii="Arial" w:cs="Arial" w:eastAsia="Arial" w:hAnsi="Arial"/>
                <w:sz w:val="18"/>
                <w:szCs w:val="18"/>
                <w:color w:val="auto"/>
              </w:rPr>
              <w:t>and outstanding as of March 31, 2020 and December 31, 2019, respectively</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486,090</w:t>
            </w: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(258,401)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(246,685)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230,422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239,455</w:t>
            </w:r>
          </w:p>
        </w:tc>
        <w:tc>
          <w:tcPr>
            <w:tcW w:w="0" w:type="dxa"/>
            <w:vAlign w:val="bottom"/>
          </w:tcPr>
          <w:p>
            <w:pPr>
              <w:spacing w:after="0"/>
              <w:rPr>
                <w:sz w:val="1"/>
                <w:szCs w:val="1"/>
                <w:color w:val="auto"/>
              </w:rPr>
            </w:pPr>
          </w:p>
        </w:tc>
      </w:tr>
      <w:tr>
        <w:trPr>
          <w:trHeight w:val="264"/>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267,100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r>
        <w:rPr>
          <w:rFonts w:ascii="Arial" w:cs="Arial" w:eastAsia="Arial" w:hAnsi="Arial"/>
          <w:sz w:val="14"/>
          <w:szCs w:val="14"/>
          <w:b w:val="1"/>
          <w:bCs w:val="1"/>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00" w:type="dxa"/>
            <w:vAlign w:val="bottom"/>
            <w:tcBorders>
              <w:bottom w:val="single" w:sz="8" w:color="auto"/>
            </w:tcBorders>
            <w:gridSpan w:val="4"/>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3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Testing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26,991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25,389</w:t>
            </w: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Biopharmaceutical revenue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4,140</w:t>
            </w:r>
          </w:p>
        </w:tc>
      </w:tr>
      <w:tr>
        <w:trPr>
          <w:trHeight w:val="27"/>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29,529</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testing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8,513</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biopharmaceutical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3,435</w:t>
            </w: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12,477</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6,904</w:t>
            </w: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w:t>
            </w:r>
          </w:p>
        </w:tc>
      </w:tr>
      <w:tr>
        <w:trPr>
          <w:trHeight w:val="237"/>
        </w:trPr>
        <w:tc>
          <w:tcPr>
            <w:tcW w:w="83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31,596</w:t>
            </w:r>
          </w:p>
        </w:tc>
      </w:tr>
      <w:tr>
        <w:trPr>
          <w:trHeight w:val="27"/>
        </w:trPr>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(303)</w:t>
            </w:r>
          </w:p>
        </w:tc>
      </w:tr>
      <w:tr>
        <w:trPr>
          <w:trHeight w:val="27"/>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453</w:t>
            </w:r>
          </w:p>
        </w:tc>
      </w:tr>
      <w:tr>
        <w:trPr>
          <w:trHeight w:val="263"/>
        </w:trPr>
        <w:tc>
          <w:tcPr>
            <w:tcW w:w="838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(11,716)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(1,917)</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80" w:type="dxa"/>
            <w:vAlign w:val="bottom"/>
          </w:tcPr>
          <w:p>
            <w:pPr>
              <w:ind w:left="2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49,792,631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41,168,593</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20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10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49,625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486,090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(246,685)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239,455</w:t>
            </w:r>
          </w:p>
        </w:tc>
        <w:tc>
          <w:tcPr>
            <w:tcW w:w="0" w:type="dxa"/>
            <w:vAlign w:val="bottom"/>
          </w:tcPr>
          <w:p>
            <w:pPr>
              <w:spacing w:after="0"/>
              <w:rPr>
                <w:sz w:val="1"/>
                <w:szCs w:val="1"/>
                <w:color w:val="auto"/>
              </w:rPr>
            </w:pPr>
          </w:p>
        </w:tc>
      </w:tr>
      <w:tr>
        <w:trPr>
          <w:trHeight w:val="141"/>
        </w:trPr>
        <w:tc>
          <w:tcPr>
            <w:tcW w:w="53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7"/>
              </w:rPr>
              <w:t>Issuance of common stock upon exercise of stock options and vesting of restricted stock</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89"/>
        </w:trPr>
        <w:tc>
          <w:tcPr>
            <w:tcW w:w="5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8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97"/>
        </w:trPr>
        <w:tc>
          <w:tcPr>
            <w:tcW w:w="5380" w:type="dxa"/>
            <w:vAlign w:val="bottom"/>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08"/>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7"/>
        </w:trPr>
        <w:tc>
          <w:tcPr>
            <w:tcW w:w="538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(11,716)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27"/>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2020</w:t>
            </w:r>
          </w:p>
        </w:tc>
        <w:tc>
          <w:tcPr>
            <w:tcW w:w="10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488,773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(258,401)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230,422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18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9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40,863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313,800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(234,086)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79,755</w:t>
            </w:r>
          </w:p>
        </w:tc>
        <w:tc>
          <w:tcPr>
            <w:tcW w:w="0" w:type="dxa"/>
            <w:vAlign w:val="bottom"/>
          </w:tcPr>
          <w:p>
            <w:pPr>
              <w:spacing w:after="0"/>
              <w:rPr>
                <w:sz w:val="1"/>
                <w:szCs w:val="1"/>
                <w:color w:val="auto"/>
              </w:rPr>
            </w:pPr>
          </w:p>
        </w:tc>
      </w:tr>
      <w:tr>
        <w:trPr>
          <w:trHeight w:val="141"/>
        </w:trPr>
        <w:tc>
          <w:tcPr>
            <w:tcW w:w="53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7"/>
              </w:rPr>
              <w:t>Issuance of common stock upon exercise of stock options and vesting of restricted stock</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4,239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4,240</w:t>
            </w: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units</w:t>
            </w: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4"/>
                <w:szCs w:val="14"/>
                <w:color w:val="auto"/>
              </w:rPr>
              <w:t>Issuance of common stock under ESPP</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Tax portion of vested restricted stock units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4"/>
                <w:szCs w:val="14"/>
                <w:color w:val="auto"/>
              </w:rPr>
              <w:t>Stock-based compensation expense (employee)</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 (non-employee)</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20"/>
                <w:szCs w:val="20"/>
                <w:color w:val="auto"/>
              </w:rPr>
            </w:pPr>
            <w:r>
              <w:rPr>
                <w:rFonts w:ascii="Arial" w:cs="Arial" w:eastAsia="Arial" w:hAnsi="Arial"/>
                <w:sz w:val="14"/>
                <w:szCs w:val="14"/>
                <w:color w:val="auto"/>
              </w:rPr>
              <w:t>Stock-based compensation expense (ESPP)</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Net loss and comprehensive loss</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02"/>
        </w:trPr>
        <w:tc>
          <w:tcPr>
            <w:tcW w:w="536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41,509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319,733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(236,003)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83,772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VERACYTE,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on disposal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Interest on end-of-term debt obligation</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Write-down of excess supplies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Revaluation of acquisition-related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2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Payment of long-term debt</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finance lease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Payment of taxes on vested restricted stock units</w:t>
            </w:r>
          </w:p>
        </w:tc>
        <w:tc>
          <w:tcPr>
            <w:tcW w:w="30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(10,154)</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159,920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78,598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153,735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68,444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Supplementary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included in accounts payable and accrued liability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Interest paid on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December 31, 2019</w:t>
            </w:r>
          </w:p>
        </w:tc>
      </w:tr>
      <w:tr>
        <w:trPr>
          <w:trHeight w:val="249"/>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153,132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159,317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5"/>
              <w:spacing w:after="0"/>
              <w:rPr>
                <w:sz w:val="20"/>
                <w:szCs w:val="20"/>
                <w:color w:val="auto"/>
              </w:rPr>
            </w:pPr>
            <w:r>
              <w:rPr>
                <w:rFonts w:ascii="Arial" w:cs="Arial" w:eastAsia="Arial" w:hAnsi="Arial"/>
                <w:sz w:val="18"/>
                <w:szCs w:val="18"/>
                <w:color w:val="auto"/>
              </w:rPr>
              <w:t>603</w:t>
            </w:r>
          </w:p>
        </w:tc>
      </w:tr>
      <w:tr>
        <w:trPr>
          <w:trHeight w:val="27"/>
        </w:trPr>
        <w:tc>
          <w:tcPr>
            <w:tcW w:w="7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153,735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159,920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Veracyte, Inc., or Veracyte, or the Company, is a global genomic diagnostics company that improves patient care by providing answers to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a best-in-class diagnostics instrument platform, the Company is positioned to deliver its tests to patients worldwide through laboratories and hospitals that can perform the tests locally.</w:t>
      </w:r>
    </w:p>
    <w:p>
      <w:pPr>
        <w:spacing w:after="0" w:line="2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performs its genomic tests for thyroid cancer, lung cancer and idiopathic pulmonary fibrosis, or IPF, in its CLIA-certified laboratory in South San Francisco, California. In December 2019, the Company announced the exclusive global diagnostics license to the NanoString nCounter FLEX Analysis System, and the acquisition of the Prosigna breast cancer prognostic gene signature assay, which is commercially available, and the LymphMark lymphoma subtyping assay, which is in development. Both tests are designed for use on the nCounter system.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offers genomic tests in four disease areas: thyroid cancer; lung cancer; IPF and breast cancer.</w:t>
      </w:r>
    </w:p>
    <w:p>
      <w:pPr>
        <w:spacing w:after="0" w:line="239" w:lineRule="exact"/>
        <w:rPr>
          <w:sz w:val="20"/>
          <w:szCs w:val="20"/>
          <w:color w:val="auto"/>
        </w:rPr>
      </w:pPr>
    </w:p>
    <w:p>
      <w:pPr>
        <w:jc w:val="both"/>
        <w:ind w:left="980"/>
        <w:spacing w:after="0" w:line="275" w:lineRule="auto"/>
        <w:rPr>
          <w:sz w:val="20"/>
          <w:szCs w:val="20"/>
          <w:color w:val="auto"/>
        </w:rPr>
      </w:pPr>
      <w:r>
        <w:rPr>
          <w:rFonts w:ascii="Arial" w:cs="Arial" w:eastAsia="Arial" w:hAnsi="Arial"/>
          <w:sz w:val="17"/>
          <w:szCs w:val="17"/>
          <w:b w:val="1"/>
          <w:bCs w:val="1"/>
          <w:i w:val="1"/>
          <w:iCs w:val="1"/>
          <w:color w:val="auto"/>
        </w:rPr>
        <w:t xml:space="preserve">Thyroid Cancer - Afirma Genomic Sequencing Classifier and Xpression Atlas. </w:t>
      </w:r>
      <w:r>
        <w:rPr>
          <w:rFonts w:ascii="Arial" w:cs="Arial" w:eastAsia="Arial" w:hAnsi="Arial"/>
          <w:sz w:val="17"/>
          <w:szCs w:val="17"/>
          <w:color w:val="auto"/>
        </w:rPr>
        <w:t>The Company's Afirma offerings comprise the Afirma GSC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Xpression Atlas, which help guide next steps for patients with potentially cancerous thyroid nodules. The offerings are intended to provide physicians with clinically actionable results from a single fine needle aspiration, or FNA biopsy. The Afirma GSC was developed with RNA whole-transcriptome sequencing and machine learning, and is used to identify patients with benign thyroid nodules among those with indeterminate cytopathology results in order to rule out unnecessary thyroid surgery.</w:t>
      </w:r>
    </w:p>
    <w:p>
      <w:pPr>
        <w:spacing w:after="0" w:line="203" w:lineRule="exact"/>
        <w:rPr>
          <w:sz w:val="20"/>
          <w:szCs w:val="20"/>
          <w:color w:val="auto"/>
        </w:rPr>
      </w:pPr>
    </w:p>
    <w:p>
      <w:pPr>
        <w:jc w:val="both"/>
        <w:ind w:left="980"/>
        <w:spacing w:after="0" w:line="243" w:lineRule="auto"/>
        <w:rPr>
          <w:sz w:val="20"/>
          <w:szCs w:val="20"/>
          <w:color w:val="auto"/>
        </w:rPr>
      </w:pPr>
      <w:r>
        <w:rPr>
          <w:rFonts w:ascii="Arial" w:cs="Arial" w:eastAsia="Arial" w:hAnsi="Arial"/>
          <w:sz w:val="18"/>
          <w:szCs w:val="18"/>
          <w:color w:val="auto"/>
        </w:rPr>
        <w:t>The Afirma Xpression Atlas complements the Afirma GSC by providing genomic alteration content from the same FNA samples used in Afirma GSC testing to help physicians decide with greater confidence on the surgical or therapeutic pathway for their patients. The Company commercially launched the Afirma Xpression Atlas in 2018 and in April 2020 introduced an expanded version of the test, which includes significantly more genomic content.</w:t>
      </w:r>
    </w:p>
    <w:p>
      <w:pPr>
        <w:spacing w:after="0" w:line="215" w:lineRule="exact"/>
        <w:rPr>
          <w:sz w:val="20"/>
          <w:szCs w:val="20"/>
          <w:color w:val="auto"/>
        </w:rPr>
      </w:pPr>
    </w:p>
    <w:p>
      <w:pPr>
        <w:jc w:val="both"/>
        <w:ind w:left="980"/>
        <w:spacing w:after="0" w:line="239" w:lineRule="auto"/>
        <w:rPr>
          <w:sz w:val="20"/>
          <w:szCs w:val="20"/>
          <w:color w:val="auto"/>
        </w:rPr>
      </w:pPr>
      <w:r>
        <w:rPr>
          <w:rFonts w:ascii="Arial" w:cs="Arial" w:eastAsia="Arial" w:hAnsi="Arial"/>
          <w:sz w:val="18"/>
          <w:szCs w:val="18"/>
          <w:b w:val="1"/>
          <w:bCs w:val="1"/>
          <w:i w:val="1"/>
          <w:iCs w:val="1"/>
          <w:color w:val="auto"/>
        </w:rPr>
        <w:t xml:space="preserve">Lung Cancer - Percepta Genomic Sequencing Classifier. </w:t>
      </w:r>
      <w:r>
        <w:rPr>
          <w:rFonts w:ascii="Arial" w:cs="Arial" w:eastAsia="Arial" w:hAnsi="Arial"/>
          <w:sz w:val="18"/>
          <w:szCs w:val="18"/>
          <w:color w:val="auto"/>
        </w:rPr>
        <w:t>The Percepta classifier improves lung cancer diagnosis when diagnostic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bronchoscopy results are inconclusive. This second-generation test was developed using the Company's RNA whole-transcriptome sequencing and machine learning platform and was commercially introduced in June 2019. The Percepta classifier identifies patients with lung nodules who are at low risk of cancer and may avoid further, invasive procedures as well as patients at high risk of cancer so they may obtain faster diagnosis and treatment. The test is built upon foundational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21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b w:val="1"/>
          <w:bCs w:val="1"/>
          <w:i w:val="1"/>
          <w:iCs w:val="1"/>
          <w:color w:val="auto"/>
        </w:rPr>
        <w:t xml:space="preserve">IPF - Envisia Genomic Classifier. </w:t>
      </w:r>
      <w:r>
        <w:rPr>
          <w:rFonts w:ascii="Arial" w:cs="Arial" w:eastAsia="Arial" w:hAnsi="Arial"/>
          <w:sz w:val="18"/>
          <w:szCs w:val="18"/>
          <w:color w:val="auto"/>
        </w:rPr>
        <w:t>The Envisia classifier improves diagnosis of IPF by helping physicians better differentiate IPF from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interstitial lung diseases, or ILDs, without the need for surgery. The test identifies the genomic pattern of usual interstitial pneumonia, or UIP, a hallmark of IPF, with high accuracy on patient samples that are obtained through transbronchial biopsy, a nonsurgical procedure that is commonly used in lung evaluation.</w:t>
      </w:r>
    </w:p>
    <w:p>
      <w:pPr>
        <w:spacing w:after="0" w:line="214" w:lineRule="exact"/>
        <w:rPr>
          <w:sz w:val="20"/>
          <w:szCs w:val="20"/>
          <w:color w:val="auto"/>
        </w:rPr>
      </w:pPr>
    </w:p>
    <w:p>
      <w:pPr>
        <w:jc w:val="both"/>
        <w:ind w:left="980"/>
        <w:spacing w:after="0" w:line="259" w:lineRule="auto"/>
        <w:rPr>
          <w:sz w:val="20"/>
          <w:szCs w:val="20"/>
          <w:color w:val="auto"/>
        </w:rPr>
      </w:pPr>
      <w:r>
        <w:rPr>
          <w:rFonts w:ascii="Arial" w:cs="Arial" w:eastAsia="Arial" w:hAnsi="Arial"/>
          <w:sz w:val="17"/>
          <w:szCs w:val="17"/>
          <w:b w:val="1"/>
          <w:bCs w:val="1"/>
          <w:i w:val="1"/>
          <w:iCs w:val="1"/>
          <w:color w:val="auto"/>
        </w:rPr>
        <w:t xml:space="preserve">Breast Cancer - Prosigna Breast Cancer Prognostic Gene Signature Assay. </w:t>
      </w:r>
      <w:r>
        <w:rPr>
          <w:rFonts w:ascii="Arial" w:cs="Arial" w:eastAsia="Arial" w:hAnsi="Arial"/>
          <w:sz w:val="17"/>
          <w:szCs w:val="17"/>
          <w:color w:val="auto"/>
        </w:rPr>
        <w:t>The Prosigna test, acquired in December 2019 through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strategic transaction with NanoString, uses advanced genomic technology to inform next steps for patients with early-stage breast cancer, based on the genomic make-up of their disease. The test uses a set of 50 genes known as the PAM50 gene signature and can provide a breast cancer patient and physician with prognostic score that indicates the probability of cancer recurrence over ten years. Physicians use Prosigna to help guide therapeutic decisions so that patients receive a therapeutic intervention, such as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chemotherapy, only if clinically warranted. Patient test results outside of the United States include intrinsic breast cancer subtypes to complement the risk-of-recurrence score.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approach also provides multiple opportunities for partnerships with biopharmaceutical companies. In developing its products, the Company has built or gained access to unique biorepositories, proprietary technology and bioinformatics that it believes are important to the development of new targeted therapies, determining clinical trial eligibility and guiding treatment selection.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testing services are performed in its clinical reference laboratories located in South San Francisco, California and Austin, Texas.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Prosigna test kits and associated products are sold to laboratories and hospitals in global markets.</w:t>
      </w: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2020, the condensed consolidated statements of operations and comprehensive loss for the three months ended March 31, 2020 and 2019, the condensed consolidated statements of stockholders' equity for the three months ended March 31, 2020 and 2019, and the condensed consolidated statements of cash flows for the three months ended March 31, 2020 and 2019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at December 31, 2019 has been derived from audited financial statements. The results for the three months ended March 31, 2020 are not necessarily indicative of the results expected for the full year or any other period.</w:t>
      </w:r>
    </w:p>
    <w:p>
      <w:pPr>
        <w:spacing w:after="0" w:line="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retained earnings or consolidated balance sheet totals; however, for the period ended March 31, 2019, the Company reclassified $212,000 of changes in operating assets and liabilities to noncash lease expense in the statement of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7"/>
          <w:szCs w:val="17"/>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Items subject to such estimates include: revenue recognition; write-down of supplies; the useful lives of property and equipment; the recoverability of long-lived assets; the incremental borrowing rate for leases; the estimation of the fair value of intangible assets and contingent consideration;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in a Public Offering</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considers demand deposits in a bank, money market funds and highly liquid investments with an original maturity of 90 days or less to be cash equivalents. Cash equivalents include overnight reverse repurchase agreements which are tri-party repurchase agreements and have maturities of three months or less at the time of investment and are collateralized by U.S. treasury and agency securities of at least 102% of the principal amount. In a tri-party repurchase agreement, a third-party custodian bank functions as an independent intermediary to facilitate transfer of cash and holding the collateral on behalf of the underlying investor for the term of the agreement thereby minimizing risk and exposure to both parties. These overnight reverse repurchase agreements are included within cash equivalents due to their high liquidity and relatively low risk. There were no overnight reverse repurchase agreements at March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and,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revenues, supplies, goodwill and intangibles may be adversely affected</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8"/>
          <w:szCs w:val="18"/>
          <w:color w:val="auto"/>
        </w:rPr>
        <w:t>Several of the components of the Company’s sample collection kit and test reagents, and its nCounter FLEX Analysis System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collaboration revenue based on collection history, current developments and credit worthiness of the customer. The estimate of credit losses is not material at March 31, 2020.</w:t>
      </w:r>
    </w:p>
    <w:p>
      <w:pPr>
        <w:spacing w:after="0" w:line="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Through March 31, 2020, most of the Company’s revenue has been derived from the sale of Afirma. To date, Afirma has been delivered primarily to physicians in the United States. The Company’s third-party payers and other customers in excess of 10% of total revenue and their related revenue as a percentage of total revenue were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254"/>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Johnson and Johnson Services, Inc.</w:t>
            </w:r>
          </w:p>
        </w:tc>
        <w:tc>
          <w:tcPr>
            <w:tcW w:w="150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UnitedHealthcare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98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0"/>
                <w:szCs w:val="20"/>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7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29"/>
        </w:trPr>
        <w:tc>
          <w:tcPr>
            <w:tcW w:w="79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The Company’s third-party payers and other customers in excess of 10% of accounts receivable and their related accounts receivable balance as a percentage of total accounts receivable were as follows at the following dates:</w:t>
      </w:r>
    </w:p>
    <w:tbl>
      <w:tblPr>
        <w:tblLayout w:type="fixed"/>
        <w:tblInd w:w="0" w:type="dxa"/>
        <w:tblCellMar>
          <w:top w:w="0" w:type="dxa"/>
          <w:left w:w="0" w:type="dxa"/>
          <w:bottom w:w="0" w:type="dxa"/>
          <w:right w:w="0" w:type="dxa"/>
        </w:tblCellMar>
      </w:tblPr>
      <w:tr>
        <w:trPr>
          <w:trHeight w:val="150"/>
        </w:trPr>
        <w:tc>
          <w:tcPr>
            <w:tcW w:w="8000" w:type="dxa"/>
            <w:vAlign w:val="bottom"/>
          </w:tcPr>
          <w:p>
            <w:pPr>
              <w:spacing w:after="0"/>
              <w:rPr>
                <w:sz w:val="13"/>
                <w:szCs w:val="13"/>
                <w:color w:val="auto"/>
              </w:rPr>
            </w:pPr>
          </w:p>
        </w:tc>
        <w:tc>
          <w:tcPr>
            <w:tcW w:w="1060" w:type="dxa"/>
            <w:vAlign w:val="bottom"/>
          </w:tcPr>
          <w:p>
            <w:pPr>
              <w:jc w:val="center"/>
              <w:ind w:left="348"/>
              <w:spacing w:after="0" w:line="150" w:lineRule="exact"/>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80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Johnson and Johnson Services, Inc.</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Medicare</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14 %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0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*Less than 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Company had deposits of $603,000 included in long-term assets as of March 31, 2020 and December 31, 2019, restricted from withdrawal and held by a bank in the form of collateral for an irrevocable standby letter of credit held as security for the lease of the Company’s South San Francisco facility.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Testing Revenue</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recognizes testing revenue in accordance with the provisions of ASC 606, Revenue from Contracts with Customers, or ASC 606. Most of the Company’s revenue is generated from the provision of testing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March 31, 2019, the Company changed its testing revenue estimates due to actual and anticipated cash collections for tests delivered in 2018 or prior years and recognized additional revenue of $0.6 million, which resulted in a decrease in the Company's loss from operations of $0.6 million and a decrease in loss per share of $0.02 for the three months ended March 31, 2019. The change in testing revenue estimates for the three months ended March 31, 2020 was not material.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Revenue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began recognizing product revenue in December 2019, when the Company executed an agreement with NanoString for the exclusive global license to the nCounter platform and acquisition of products for diagnostic use. More details on this agreement are in Note 4 - Business Combination.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Product revenue from instruments, consumables and in vitro diagnostic kits is recognized generally upon shipment or when the instrument is ready for use by the end customer, which is when title of the product has been transferred to the customer.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transferred control of a product to the customer, meaning the customer has the ability to use and obtain the benefit of the product. The Company recognizes product revenue for satisfied performance obligations only when there are no uncertainties regarding payment terms or transfer of control. Shipping and handling costs incurred for product shipments are charged to the Company's customers and included in product revenue. Revenues are presented net of the taxes that are collected from customers and remitted to governmental authorities.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Biopharmaceutical and Collaboration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From time to time, the Company enters into arrangements for research and development and/or laboratory services. Such arrangements may require the Company to deliver various rights, services and/or samples, including intellectual property rights/licenses, R&amp;D services, and/or laboratory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Collaborative Arrangements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enters into collaborative arrangements with partners that fall under the scope of ASC Topic 808, Collaborative Arrangements, or ASC 808. While these arrangements are in the scope of ASC 808, the Company may analogize to ASC 606 for some aspects of these arrangements. The Company analogizes to ASC 606 for certain activities within the collaborative arrangement for the delivery of a good or service (i.e., a unit of account) that is part of its ongoing major or central operations.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all other non-customer revenue, such as milestones, are classified under collaboration revenue in our consolidated statements of operations and comprehensive loss. There was no collaboration revenue in the three months ended March 31, 2020 and 2019.</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20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Up-front Fees: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Milestone Payments: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Services Agreement with Loxo Oncology</w:t>
      </w:r>
    </w:p>
    <w:p>
      <w:pPr>
        <w:spacing w:after="0" w:line="252" w:lineRule="exact"/>
        <w:rPr>
          <w:sz w:val="20"/>
          <w:szCs w:val="20"/>
          <w:color w:val="auto"/>
        </w:rPr>
      </w:pPr>
    </w:p>
    <w:p>
      <w:pPr>
        <w:jc w:val="both"/>
        <w:ind w:left="660" w:firstLine="648"/>
        <w:spacing w:after="0" w:line="283" w:lineRule="auto"/>
        <w:rPr>
          <w:sz w:val="20"/>
          <w:szCs w:val="20"/>
          <w:color w:val="auto"/>
        </w:rPr>
      </w:pPr>
      <w:r>
        <w:rPr>
          <w:rFonts w:ascii="Arial" w:cs="Arial" w:eastAsia="Arial" w:hAnsi="Arial"/>
          <w:sz w:val="16"/>
          <w:szCs w:val="16"/>
          <w:color w:val="auto"/>
        </w:rPr>
        <w:t>On April 9, 2018, the Company entered into an agreement with Loxo Oncology, Inc., or Loxo, whereby the Company agreed to provide certain tissue samples and other services in exchange for agreed-upon fees. The agreement has a term of one year with an automatic renewal of one year and Loxo may terminate the agreement at any time with at least 90 days' notice. As of March 31, 2020, the agreement has not been terminated. The Company evaluated the accounting for this agreement under ASC 606 and concluded the performance obligations thereunder are the delivery of tissue samples and performance of services, both of which are distinct. For the three months ended March 31, 2019, the Company recognized revenue of $90,000 for the delivery of tissue samples. There were no deliveries of tissue samples for the three months ended March 31, 2020. The Company recognized revenue of $250,000 for the performance of services for each of the three months ended March 31, 2020 and 2019, respectively. The cost of revenue associated with revenue recognized under the agreement with Loxo is not significant. There was no deferred revenue related to this agreement at either March 31, 2020 or December 31, 2019.</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Diagnostic Development Agreement with Johnson &amp; Johnson</w:t>
      </w:r>
    </w:p>
    <w:p>
      <w:pPr>
        <w:spacing w:after="0" w:line="238" w:lineRule="exact"/>
        <w:rPr>
          <w:sz w:val="20"/>
          <w:szCs w:val="20"/>
          <w:color w:val="auto"/>
        </w:rPr>
      </w:pPr>
    </w:p>
    <w:p>
      <w:pPr>
        <w:jc w:val="both"/>
        <w:ind w:left="660" w:firstLine="648"/>
        <w:spacing w:after="0" w:line="267" w:lineRule="auto"/>
        <w:rPr>
          <w:sz w:val="20"/>
          <w:szCs w:val="20"/>
          <w:color w:val="auto"/>
        </w:rPr>
      </w:pPr>
      <w:r>
        <w:rPr>
          <w:rFonts w:ascii="Arial" w:cs="Arial" w:eastAsia="Arial" w:hAnsi="Arial"/>
          <w:sz w:val="17"/>
          <w:szCs w:val="17"/>
          <w:color w:val="auto"/>
        </w:rPr>
        <w:t>On December 28, 2018, the Company entered into a diagnostics development agreement with Johnson and Johnson Services, Inc., or JJSI, (i) to cooperate on a program to enable the Company to use JJSI samples and clinical data to develop a next generation bronchial genomic classifier diagnostic for lung cancer diagnosis, or Percepta v.2, and a nasal genomic classifier diagnostic for lung cancer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Nasal programs. The license granted to JJSI is not distinct from other performance obligations as JJSI receives benefit only when other performance obligations are met.</w:t>
      </w:r>
    </w:p>
    <w:p>
      <w:pPr>
        <w:spacing w:after="0" w:line="3"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Under the terms of the agreement, 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the Percepta v.2 and Nasal tests. For a period of ten years commencing with the first commercial sale of the Percepta v.2 and Nasal tests, respectively, the Company will make payments to JJSI of one percent of net cash collections for Percepta v.2 and in the low-single digits of net cash collections for the Nasal test, depending on the number and timing of JJSI samples and associated clinical data the Company receives from JJSI.</w:t>
      </w:r>
    </w:p>
    <w:p>
      <w:pPr>
        <w:spacing w:after="0" w:line="205" w:lineRule="exact"/>
        <w:rPr>
          <w:sz w:val="20"/>
          <w:szCs w:val="20"/>
          <w:color w:val="auto"/>
        </w:rPr>
      </w:pPr>
    </w:p>
    <w:p>
      <w:pPr>
        <w:jc w:val="both"/>
        <w:ind w:left="660" w:firstLine="648"/>
        <w:spacing w:after="0" w:line="272" w:lineRule="auto"/>
        <w:rPr>
          <w:sz w:val="20"/>
          <w:szCs w:val="20"/>
          <w:color w:val="auto"/>
        </w:rPr>
      </w:pPr>
      <w:r>
        <w:rPr>
          <w:rFonts w:ascii="Arial" w:cs="Arial" w:eastAsia="Arial" w:hAnsi="Arial"/>
          <w:sz w:val="17"/>
          <w:szCs w:val="17"/>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RNA whole-transcriptome sequencing data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regulatory and commercialization milestones that are uncertain to occur and, as such, were not included in the transaction price, and will be recognized accordingly as each potential payment becomes probable.</w:t>
      </w:r>
    </w:p>
    <w:p>
      <w:pPr>
        <w:spacing w:after="0" w:line="197"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7"/>
          <w:szCs w:val="17"/>
          <w:color w:val="auto"/>
        </w:rPr>
        <w:t>The Company recognized revenue of $7.0 million and $4.0 million during 2019 for the provision of data and fulfillment of obligations relating to Percepta v.2 and Nasal program development milestones, respectively. There was no revenue for the three months ended March 31, 2020. For the three months ended March 31, 2019, the Company recognized revenue of $3.8 million for the provision of data relating to Percepta v.2, classified under biopharmaceutical revenue in the consolidated statement of operations and comprehensive loss. There was no accounts receivable from JJSI at March 31, 2020 and accounts receivable from JJSI was $2.0 million at December 31, 2019. There was no deferred revenue related to this agreement at March 31, 2020 and December 31,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Collaboration Agreement with AstraZeneca Group</w:t>
      </w:r>
    </w:p>
    <w:p>
      <w:pPr>
        <w:spacing w:after="0" w:line="23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On December 23, 2019, the Company entered into an agreement with Acerta Pharma B.V., or Acerta, a member of AstraZeneca Group whereby the Company agreed to provide genomic information that will support Acerta’s development of oncology therapeutics. Acerta will pay the Company for certain development activities and pay milestones to the Company for the achievement of development milestones. For the three months ended March 31, 2020, the Company recognized $0.1 million of revenue for certain development costs activities and accounts receivable from Acerta was $0.1 million at March 31, 2020. The agreement will be accounted for in accordance with the policy on collaborative arrangements, as mentioned in this footnote.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Biopharmaceutical Services Agreement</w:t>
      </w:r>
    </w:p>
    <w:p>
      <w:pPr>
        <w:spacing w:after="0" w:line="252" w:lineRule="exact"/>
        <w:rPr>
          <w:sz w:val="20"/>
          <w:szCs w:val="20"/>
          <w:color w:val="auto"/>
        </w:rPr>
      </w:pPr>
    </w:p>
    <w:p>
      <w:pPr>
        <w:jc w:val="both"/>
        <w:ind w:left="660" w:right="20" w:firstLine="648"/>
        <w:spacing w:after="0" w:line="308" w:lineRule="auto"/>
        <w:rPr>
          <w:sz w:val="20"/>
          <w:szCs w:val="20"/>
          <w:color w:val="auto"/>
        </w:rPr>
      </w:pPr>
      <w:r>
        <w:rPr>
          <w:rFonts w:ascii="Arial" w:cs="Arial" w:eastAsia="Arial" w:hAnsi="Arial"/>
          <w:sz w:val="17"/>
          <w:szCs w:val="17"/>
          <w:color w:val="auto"/>
        </w:rPr>
        <w:t>During the quarter ended March 31, 2020, the Company entered into an agreement to provide research and development services of $0.5 million for which the Company recognized $0.3 million of biopharmaceutical revenue for the three months ended March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Testing Revenue</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 Cost of testing revenue for the three months ended March 31, 2020 included $1.1 million write-down of supplies for the potential expiration of reagents due to an anticipated decline in volumes resulting from the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Cost of product revenue consists primarily of costs of purchasing instruments and consumables from third-party contract manufacturers, installation, warranty, service and packaging and delivery costs. In addition, cost of product includes royalty costs for licensed technologies included in the Company’s products and labor expenses. Cost of product revenue for instruments and consumables is recognized in the period the related revenue is recognized. Shipping and handling costs incurred for product shipments are included in cost of product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Biopharmaceutical Revenue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Cost of biopharmaceutical revenue consists of costs of performing activities under arrangements that require the Company to perform research and development services on behalf of a customer pursuant to a biopharmaceutical service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risks. This guidance became effective for the Company beginning January 1, 2020. Based on the composition of its trade receivables, investment portfolio and other financial assets, current economic conditions and historical credit loss activity, the adoption of this standard did not have a material impact on the Company's condensed consolidated financial statements and related disclosures.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adopted this ASU in 2019 with no cumulative-effect adjustments or retrospective impact.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clarifies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This standard became effective for the Company on January 1, 2020, and was adopted on a prospective basis with no material impact on the Company's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of common stock subject to outstanding options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4,760,128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5,670,819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77"/>
              <w:spacing w:after="0"/>
              <w:rPr>
                <w:sz w:val="20"/>
                <w:szCs w:val="20"/>
                <w:color w:val="auto"/>
              </w:rPr>
            </w:pPr>
            <w:r>
              <w:rPr>
                <w:rFonts w:ascii="Arial" w:cs="Arial" w:eastAsia="Arial" w:hAnsi="Arial"/>
                <w:sz w:val="18"/>
                <w:szCs w:val="18"/>
                <w:color w:val="auto"/>
              </w:rPr>
              <w:t>19,857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25,672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936,524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538,759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240" w:type="dxa"/>
            <w:vAlign w:val="bottom"/>
          </w:tcPr>
          <w:p>
            <w:pPr>
              <w:ind w:left="20"/>
              <w:spacing w:after="0"/>
              <w:rPr>
                <w:sz w:val="20"/>
                <w:szCs w:val="20"/>
                <w:color w:val="auto"/>
              </w:rPr>
            </w:pPr>
            <w:r>
              <w:rPr>
                <w:rFonts w:ascii="Arial" w:cs="Arial" w:eastAsia="Arial" w:hAnsi="Arial"/>
                <w:sz w:val="18"/>
                <w:szCs w:val="18"/>
                <w:color w:val="auto"/>
              </w:rPr>
              <w:t>Total common stock equivalents</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5,716,509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6,235,250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3. Accrued Liabilities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2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expenses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2,582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10,079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December 3, 2019, the Company executed an agreement with NanoString for the exclusive global diagnostics license to the nCounter FLEX Analysis System, and the acquisition of the Prosigna breast cancer prognostic gene signature assay, and the LymphMark lymphoma subtyping assay. The strategic transaction positions the Company to expand its genomic diagnostics business globally, with the ability to deliver its advanced genomic tests to physicians and their patients via hospital and clinical laboratories throughout the European Union and other parts of the world. The Company has accounted for this agreement under Accounting Standards Codification 805, Business Combinations.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as of December 31, 2019, recorded as a liability, and will be remeasured to fair value at each reporting date until the contingent consideration is settled. As of March 31, 2020, this contingency was remeasured to $5.6 million with the corresponding change included in general and administrative expense in the Company's condensed consolidated statements of operations and comprehensive loss.</w:t>
      </w:r>
    </w:p>
    <w:p>
      <w:pPr>
        <w:spacing w:after="0" w:line="2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Assets acquired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the resulting amount of goodwill. The following table summarizes the fair values of assets acquired and liabilities assumed at the date of acquisition (in thousands):</w:t>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Prosigna product technology</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4,120</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Prosigna customer relationships</w:t>
            </w:r>
          </w:p>
        </w:tc>
        <w:tc>
          <w:tcPr>
            <w:tcW w:w="4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2,430</w:t>
            </w:r>
          </w:p>
        </w:tc>
      </w:tr>
      <w:tr>
        <w:trPr>
          <w:trHeight w:val="27"/>
        </w:trPr>
        <w:tc>
          <w:tcPr>
            <w:tcW w:w="9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nCounter FLEX Dx license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46,880</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LymphMark product technology</w:t>
            </w:r>
          </w:p>
        </w:tc>
        <w:tc>
          <w:tcPr>
            <w:tcW w:w="4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990</w:t>
            </w:r>
          </w:p>
        </w:tc>
      </w:tr>
      <w:tr>
        <w:trPr>
          <w:trHeight w:val="27"/>
        </w:trPr>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acquired</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54,420</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1,668</w:t>
            </w:r>
          </w:p>
        </w:tc>
      </w:tr>
      <w:tr>
        <w:trPr>
          <w:trHeight w:val="27"/>
        </w:trPr>
        <w:tc>
          <w:tcPr>
            <w:tcW w:w="9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56,088</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Identifiable acquisition-related intangibles included in the above table are finite-lived and are being amortized on a straight-line basis over their estimated lives, which approximates the pattern in which the economic benefits of the intangible assets are expected to be realized, as 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7900" w:type="dxa"/>
            <w:vAlign w:val="bottom"/>
            <w:shd w:val="clear" w:color="auto" w:fill="CCEEFF"/>
          </w:tcPr>
          <w:p>
            <w:pPr>
              <w:spacing w:after="0"/>
              <w:rPr>
                <w:sz w:val="23"/>
                <w:szCs w:val="23"/>
                <w:color w:val="auto"/>
              </w:rPr>
            </w:pPr>
          </w:p>
        </w:tc>
        <w:tc>
          <w:tcPr>
            <w:tcW w:w="3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Estimated Useful life (In Years)</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Prosigna product technology</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Prosigna customer relationships</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nCounter FLEX Dx license</w:t>
            </w:r>
          </w:p>
        </w:tc>
        <w:tc>
          <w:tcPr>
            <w:tcW w:w="3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3120" w:type="dxa"/>
            <w:vAlign w:val="bottom"/>
          </w:tcPr>
          <w:p>
            <w:pPr>
              <w:spacing w:after="0"/>
              <w:rPr>
                <w:sz w:val="2"/>
                <w:szCs w:val="2"/>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LymphMark product technology</w:t>
            </w:r>
          </w:p>
        </w:tc>
        <w:tc>
          <w:tcPr>
            <w:tcW w:w="3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shd w:val="clear" w:color="auto" w:fill="CCEEFF"/>
          </w:tcPr>
          <w:p>
            <w:pPr>
              <w:spacing w:after="0"/>
              <w:rPr>
                <w:sz w:val="2"/>
                <w:szCs w:val="2"/>
                <w:color w:val="auto"/>
              </w:rPr>
            </w:pPr>
          </w:p>
        </w:tc>
        <w:tc>
          <w:tcPr>
            <w:tcW w:w="3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Goodwill represents the excess of the purchase price over the fair value of the net tangible and intangible assets acquired. This acquisition includes $1.7 million of goodwill which the Company believes consists principally of the organized workforce that will help the Company execute its strategic plans in relation to the assets acquired. In accordance with ASC 350, goodwill will not be amortized but will be tested for impairment at least annually. As of March 31, 2020, goodwill is not deductible for tax purposes, however, if contingent consideration is paid at a future date, the portions of contingent consideration paid and allocated to the intangible assets for tax purposes will be tax deductible. The accounting for this acquisition is preliminary and will be finalized upon completion of the analysis of certain contracts acquired and executed as part of this acquisition along with the impact on goodwill, should there be 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52"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1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 of the Company’s financial assets includes money market funds, overnight reverse repurchase agreements and a deposit for the lease of the Company's South San Francisco facility. Money market funds, included in cash and cash equivalents in the accompanying condensed consolidated balance sheets, were $150.7 million and $57.6 million as of March 31, 2020 and December 31, 2019, respectively, and are Level I assets as described above. Overnight reverse repurchase agreements, included in cash and cash equivalents in the accompanying condensed consolidated balance sheets, were zero and $100.0 million as of March 31, 2020 and December 31, 2019, respectively, and are Level II assets as described above. There were no unrealized gains or losses from overnight reverse repurchase agreements at March 31, 2020 and December 31, 2019. The deposit for the lease, included in restricted cash in the accompanying condensed consolidated balance sheets, was $603,000 as of March 31, 2020 and December 31, 2019, and is a Level I asset as described above.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contingent consideration in Note 4, Business Combination, associated with the agreement with NanoString on December 3, 2019, is a Level</w:t>
      </w:r>
    </w:p>
    <w:p>
      <w:pPr>
        <w:spacing w:after="0" w:line="35" w:lineRule="exact"/>
        <w:rPr>
          <w:sz w:val="20"/>
          <w:szCs w:val="20"/>
          <w:color w:val="auto"/>
        </w:rPr>
      </w:pPr>
    </w:p>
    <w:p>
      <w:pPr>
        <w:jc w:val="both"/>
        <w:ind w:firstLine="8"/>
        <w:spacing w:after="0" w:line="237"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liability. The estimation of the fair value of the contingent consideration is based on the present value of the expected payments calculated by assessing the likelihood of when the related milestones would be achieved, discounted using the Company's estimated borrowing rate. These estimates form the basis for making judgments about the carrying value of the contingent consideration that are not readily apparent from other sources. Changes to the forecasts for the achievement of the milestones and the estimates of the borrowing rate can significantly affect the estimated fair value of the contingent consideration.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March 31, 2020 and December 31, 2019, restricted from withdrawal and held by a bank in the form of collateral for an irrevocable standby letter of credit held as security for the lease of the South San Francisco facility.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consolidated balance sheets as of March 31, 2020 and December 31,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March 31, 2020 are as follows (in thousands of dollars):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32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rPr>
              <w:t>VERACYTE, INC.</w:t>
            </w: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320" w:type="dxa"/>
            <w:vAlign w:val="bottom"/>
            <w:gridSpan w:val="2"/>
          </w:tcPr>
          <w:p>
            <w:pPr>
              <w:jc w:val="center"/>
              <w:ind w:right="2480"/>
              <w:spacing w:after="0"/>
              <w:rPr>
                <w:sz w:val="20"/>
                <w:szCs w:val="20"/>
                <w:color w:val="auto"/>
              </w:rPr>
            </w:pPr>
            <w:r>
              <w:rPr>
                <w:rFonts w:ascii="Arial" w:cs="Arial" w:eastAsia="Arial" w:hAnsi="Arial"/>
                <w:sz w:val="18"/>
                <w:szCs w:val="18"/>
                <w:b w:val="1"/>
                <w:bCs w:val="1"/>
                <w:color w:val="auto"/>
                <w:w w:val="88"/>
              </w:rPr>
              <w:t>Notes to Financial Statements</w:t>
            </w:r>
          </w:p>
        </w:tc>
        <w:tc>
          <w:tcPr>
            <w:tcW w:w="9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320" w:type="dxa"/>
            <w:vAlign w:val="bottom"/>
            <w:gridSpan w:val="2"/>
          </w:tcPr>
          <w:p>
            <w:pPr>
              <w:jc w:val="center"/>
              <w:ind w:right="2460"/>
              <w:spacing w:after="0"/>
              <w:rPr>
                <w:sz w:val="20"/>
                <w:szCs w:val="20"/>
                <w:color w:val="auto"/>
              </w:rPr>
            </w:pPr>
            <w:r>
              <w:rPr>
                <w:rFonts w:ascii="Arial" w:cs="Arial" w:eastAsia="Arial" w:hAnsi="Arial"/>
                <w:sz w:val="18"/>
                <w:szCs w:val="18"/>
                <w:b w:val="1"/>
                <w:bCs w:val="1"/>
                <w:color w:val="auto"/>
                <w:w w:val="91"/>
              </w:rPr>
              <w:t>(unaudited)</w:t>
            </w:r>
          </w:p>
        </w:tc>
        <w:tc>
          <w:tcPr>
            <w:tcW w:w="980" w:type="dxa"/>
            <w:vAlign w:val="bottom"/>
          </w:tcPr>
          <w:p>
            <w:pPr>
              <w:spacing w:after="0"/>
              <w:rPr>
                <w:sz w:val="20"/>
                <w:szCs w:val="20"/>
                <w:color w:val="auto"/>
              </w:rPr>
            </w:pPr>
          </w:p>
        </w:tc>
      </w:tr>
      <w:tr>
        <w:trPr>
          <w:trHeight w:val="850"/>
        </w:trPr>
        <w:tc>
          <w:tcPr>
            <w:tcW w:w="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63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1,760</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204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2,401</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4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2,472</w:t>
            </w:r>
          </w:p>
        </w:tc>
      </w:tr>
      <w:tr>
        <w:trPr>
          <w:trHeight w:val="243"/>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04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2,543</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4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2,614</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4,227</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5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16,017</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5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3,435</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Present value of future lease payments</w:t>
            </w:r>
          </w:p>
        </w:tc>
        <w:tc>
          <w:tcPr>
            <w:tcW w:w="5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12,582</w:t>
            </w: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Less: short-term lease liabilities</w:t>
            </w:r>
          </w:p>
        </w:tc>
        <w:tc>
          <w:tcPr>
            <w:tcW w:w="5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1,450</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3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lease liabilities</w:t>
            </w:r>
          </w:p>
        </w:tc>
        <w:tc>
          <w:tcPr>
            <w:tcW w:w="6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11,132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operating lease expense on a straight-line basis over the non-cancelable lease period. Operating lease expense was $474,000 and $476,000 for the three months ended March 31,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is no legal proceeding pending that could have, either individually or in the aggregate, a material adverse effect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March 31, 2020.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The average Term Loan Advance interest rate for the three months ended March 31, 2020 was 5.8%.</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 In January 2019 and May 2019, the Company prepaid $12.5 million and $12.4 million, respectively, of the principal amount of the Term Loan Advance. These prepayments did not trigger any prepayment premium because they were partial, not full, repayments of the principal amount.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a final payment on the Term Loan Advance in the amount of $1.2 million is due upon the earlier of the maturity date of the Term Loan Advance or its payment in full. The Loan and Security Agreement contains customary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representations, warranties, and events of default such as a material adverse change in the Company's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March 31, 2020, the Company was in compliance with the loan covenants.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debt obligation for borrowings made under the Loan and Security Agreement was as follows (in thousands of dollars):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130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End-of-term debt obligation</w:t>
            </w:r>
          </w:p>
        </w:tc>
        <w:tc>
          <w:tcPr>
            <w:tcW w:w="18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55"/>
              <w:spacing w:after="0"/>
              <w:rPr>
                <w:sz w:val="20"/>
                <w:szCs w:val="20"/>
                <w:color w:val="auto"/>
              </w:rPr>
            </w:pPr>
            <w:r>
              <w:rPr>
                <w:rFonts w:ascii="Arial" w:cs="Arial" w:eastAsia="Arial" w:hAnsi="Arial"/>
                <w:sz w:val="18"/>
                <w:szCs w:val="18"/>
                <w:color w:val="auto"/>
              </w:rPr>
              <w:t>594</w:t>
            </w:r>
          </w:p>
        </w:tc>
      </w:tr>
      <w:tr>
        <w:trPr>
          <w:trHeight w:val="27"/>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obligation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748</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694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and end-of-term debt obligation payments under the Loan and Security Agreement are $1.3 million and due in 2022.</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end-of-term debt obligation accretes over the term of the Loan and Security Agreement until maturity and is included in interest expense in the Company's condensed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March 31,</w:t>
            </w:r>
          </w:p>
        </w:tc>
        <w:tc>
          <w:tcPr>
            <w:tcW w:w="14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restricted stock units issued and outstanding</w:t>
            </w: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5,988,461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5,562,484</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3,200,200</w:t>
            </w:r>
          </w:p>
        </w:tc>
        <w:tc>
          <w:tcPr>
            <w:tcW w:w="100" w:type="dxa"/>
            <w:vAlign w:val="bottom"/>
          </w:tcPr>
          <w:p>
            <w:pPr>
              <w:spacing w:after="0"/>
              <w:rPr>
                <w:sz w:val="21"/>
                <w:szCs w:val="21"/>
                <w:color w:val="auto"/>
              </w:rPr>
            </w:pPr>
          </w:p>
        </w:tc>
        <w:tc>
          <w:tcPr>
            <w:tcW w:w="1440" w:type="dxa"/>
            <w:vAlign w:val="bottom"/>
          </w:tcPr>
          <w:p>
            <w:pPr>
              <w:jc w:val="right"/>
              <w:ind w:right="94"/>
              <w:spacing w:after="0"/>
              <w:rPr>
                <w:sz w:val="20"/>
                <w:szCs w:val="20"/>
                <w:color w:val="auto"/>
              </w:rPr>
            </w:pPr>
            <w:r>
              <w:rPr>
                <w:rFonts w:ascii="Arial" w:cs="Arial" w:eastAsia="Arial" w:hAnsi="Arial"/>
                <w:sz w:val="18"/>
                <w:szCs w:val="18"/>
                <w:color w:val="auto"/>
              </w:rPr>
              <w:t>1,954,804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available for the Employee Stock Purchase Plan</w:t>
            </w:r>
          </w:p>
        </w:tc>
        <w:tc>
          <w:tcPr>
            <w:tcW w:w="1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112,226</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173,168</w:t>
            </w:r>
          </w:p>
        </w:tc>
        <w:tc>
          <w:tcPr>
            <w:tcW w:w="0" w:type="dxa"/>
            <w:vAlign w:val="bottom"/>
          </w:tcPr>
          <w:p>
            <w:pPr>
              <w:spacing w:after="0"/>
              <w:rPr>
                <w:sz w:val="1"/>
                <w:szCs w:val="1"/>
                <w:color w:val="auto"/>
              </w:rPr>
            </w:pPr>
          </w:p>
        </w:tc>
      </w:tr>
      <w:tr>
        <w:trPr>
          <w:trHeight w:val="264"/>
        </w:trPr>
        <w:tc>
          <w:tcPr>
            <w:tcW w:w="8260" w:type="dxa"/>
            <w:vAlign w:val="bottom"/>
          </w:tcPr>
          <w:p>
            <w:pPr>
              <w:ind w:left="1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9,300,887</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7,690,456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Thyroid Cytopathology Partners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has an agreement with a specialized pathology practice, Thyroid Cytopathology Partners, ("TCP"), to provide testing services to the Company, or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 a portion of the Company's facility in Austin, Texas. The Company does not have an ownership interest in or provide any form of financial or other support to TCP. The Company previously concluded that TCP represented a variable interest entity as a result of the facility arrangement clause, but that the Company was not the primary beneficiary as it did not have the ability to direct the activities that most significantly impacted TCP's economic performance, and therefore did not consolidate TCP. On February 14, 2019, the TCP Agreement was amended to remove the facility clause. Accordingly, the Company believes TCP was no longer a variable interest entity as of that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TCP's portion of rent and related operating expenses reimbursed to the Company for the shared space at the Austin, Texas facility was $11,000 for the three months ended March 31, 2019, and is included in other income, net in the Company’s condensed consolidated statements of operations and comprehensive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months ended March 31, 2020 and 2019. The Company continues to maintain a full valuation allowance against its net deferred tax assets.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the provisions of the legislation to have a significant impact on the effective tax rate of the Company.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consolidated financial statements and the related notes included in Item 1 of Part I of this Quarterly Report on Form 10-Q, and with our audited financial statements and the related notes included in our Annual Report on Form 10-K for the year ended December 31, 2019.</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the COVID-19 pandemic on our business and the U.S. and global economies; our beliefs with respect to the optimization of our processes for the analysis of ribonucleic acid, or RNA, samples; our integration of the assets acquired from NanoString Technologies, Inc.; our ability to deploy the nCounter FLEX Analysis System successfully and run our tests on this platform worldwide; our beliefs with respect to the optimization of our processes for the analysis of ribonucleic acid, or RNA, samples; our collaboration with Johnson &amp; Johnson Services, Inc.;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3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Veracyte, Afirma, Percepta, Envisia, Prosigna, LymphMark, and Know by Design, and the Veracyte, Afirma, Percepta, Envisia and Prosigna logos are our trademarks. We also refer to trademarks of other corporations or organizations in this report.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8"/>
          <w:szCs w:val="18"/>
          <w:color w:val="auto"/>
        </w:rPr>
        <w:t>We are a global genomic diagnostics company that improves patient care by providing answers to clinical questions to inform diagnosis and treatment decisions throughout the patient journey in cancer and other diseases. The Company’s growing menu of genomic tests leverage advances in genomic science and technology to change care for patients, enabling them to avoid risky, costly procedures and quicken time to appropriate treatment. With Veracyte’s exclusive global access to a best-in-class diagnostics instrument platform, the Company is positioned to deliver its tests to patients worldwide through laboratories and hospitals that can perform the tests locally.</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perform our genomic tests for thyroid cancer, lung cancer and idiopathic pulmonary fibrosis, or IPF, in our CLIA-certified laboratory in South San Francisco, California. In December 2019, we announced an exclusive global diagnostics license to the nCounter® FLEX Analysis System from NanoString Technologies, Inc., or NanoString, as well as the acquisition of the Prosigna® breast cancer prognostic gene signature assay, which is commercially available, and the LymphMark™ lymphoma subtyping assay, which is in development. Both tests are designed for use on the nCounter system. We believe this strategic transaction positions us to expand our business globally with a broad menu of advanced genomic tests that may be offered as distributed kits and performed in local laboratories worldwide. We believe our current and pipeline products address a collective $40 billion global market.</w:t>
      </w:r>
    </w:p>
    <w:p>
      <w:pPr>
        <w:spacing w:after="0" w:line="22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develop our genomic tests using advanced scientific methods, such as RNA whole-transcriptome sequencing and machine learning, and then optimize the assay and classifier results for the platform on which the test will be performed. Historically, that platform has been RNA sequencing, performed in our CLIA lab. In the future, we expect this to also include the nCounter platform for international distribution of our tests.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classifiers are designed to improve diagnostic and prognostic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15-70% of cases. This diagnostic uncertainty can lead to additional, invasive procedures that are often unnecessary, delayed or incorrect treatment, increased healthcare costs and patient anxiety.</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position our tests to fit into the way physicians currently evaluate patients in order to facilitate adoption. We also design our tests to improve patient care and outcomes, while delivering clinical and economic utility to physicians, payers and the healthcare system in general.</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197" w:lineRule="exact"/>
        <w:rPr>
          <w:sz w:val="20"/>
          <w:szCs w:val="20"/>
          <w:color w:val="auto"/>
        </w:rPr>
      </w:pPr>
    </w:p>
    <w:p>
      <w:pPr>
        <w:jc w:val="both"/>
        <w:ind w:left="660" w:hanging="328"/>
        <w:spacing w:after="0" w:line="27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Unique Biorepositories - When we develop new tests, we build extensive, robust biorepositories of patient-consented samples and well-curated clinical, radiological, outcome and other information from Institutional Review Board-approved clinical trials to inform our discovery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203"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Technology and Bioinformatics - 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13"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High-Performing Commercial Genomic Tests – With the exception of Prosigna, which competes with a first-to-market test in a highly competitive environment, our genomic tests generally serve large, untapped markets where they are changing the diagnostic and treatment paradigm for patients. We believe the nCounter platform affords us the opportunity to adapt our test menu for multiple markets globally, providing flexibility for a global distributed testing model and potentially increased efficiency in our United States-based CLIA lab. Regardless of the testing platform used for diagnosis, our RNA sequencing platform enables us to offer testing from our CLIA lab for a broad range of gene alterations, which can inform treatment decisions using the same pre-surgical patient sample that was used in diagnosis.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ind w:firstLine="648"/>
        <w:spacing w:after="0" w:line="289" w:lineRule="auto"/>
        <w:rPr>
          <w:sz w:val="20"/>
          <w:szCs w:val="20"/>
          <w:color w:val="auto"/>
        </w:rPr>
      </w:pPr>
      <w:r>
        <w:rPr>
          <w:rFonts w:ascii="Arial" w:cs="Arial" w:eastAsia="Arial" w:hAnsi="Arial"/>
          <w:sz w:val="16"/>
          <w:szCs w:val="16"/>
          <w:color w:val="auto"/>
        </w:rPr>
        <w:t>We believe our ability to leverage RNA whole-transcriptome sequencing data in large biorepositories of patient-consented samples in oncology and other indications presents an opportunity for biopharmaceutical companies to enhance their research and development capabilities. In April 2018, we announced a collaboration with Loxo Oncology (now a wholly owned subsidiary of Eli Lilly and Company) to advance its development of highly selective medicines for patients with genetically defined cancers, including thyroid cancer. In December 2018, we entered into a long-term strategic collaboration with Johnson &amp; Johnson Innovation and the Lung Cancer Initiative at Johnson &amp; Johnson to advance the development and commercialization of novel diagnostic tests to detect lung cancer at its earliest stages, when the disease is most treatable. The collaboration builds upon foundational "field of injury" science whereby genomic changes associated with lung cancer can be identified with a simple brushing of a person's airway to develop new interventions that can save lives. Additionally, in January 2020, we announced an agreement with Acerta Pharma, the hematology research and development arm of AstraZeneca, to provide genomic information that will support its development of oncology therapeutics in lymphoma.</w:t>
      </w:r>
    </w:p>
    <w:p>
      <w:pPr>
        <w:spacing w:after="0" w:line="19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Our collaboration with the Lung Cancer Initiative at Johnson &amp; Johnson has helped accelerate two of our key lung cancer programs: (i) commercialization of the Percepta GSC on our RNA whole-transcriptome sequencing platform, and (ii) development of the first non-invasive nasal swab test for early lung cancer detection. We began making the Percepta GSC available to customers in June 2019. In October 2019, we announced preliminary data for our nasal swab classifier, which demonstrated the test’s potential to identify patients at low risk of lung cancer so they can potentially avoid unnecessary procedures and those at high risk so they can receive prompt diagnosis and treatment.</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which we believe is key to driving adoption and reimbursement. Patients and physicians can access our full list of publications on our website. Over 45 clinical studies covering our products have been published, including three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for the Afirma and Percepta classifiers, respectively, and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xml:space="preserve"> for the Envisia classifier. We continue to build upon our extensive library of clinical evidence.</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also expect to continue expanding our offerings in thyroid cancer, lung cancer, interstitial lung diseases such as IPF, breast cancer and lymphoma, as well as other indications that we believe will benefit from our technology and approach. Our product development pipelines address what we believe to be significant market opportunities for addressing clinical questions in early detection, diagnosis, staging/prognosis, therapy selection/surgery and disease monitoring across the aforementioned indications.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December 2019, a strain of coronavirus was reported in Wuhan, China, and began to spread globally, including to the United States and Europe, in the following months. The World Health Organization has declared COVID-19 to be a pandemic and a public health emergency of international concern. The full impact of the COVID-19 outbreak is inherently uncertain at the time of this report. The COVID-19 outbreak has resulted in travel restrictions and in some cases, prohibitions of non-essential 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Our customers, third-party contract manufacturers, suppliers and collaboration partners may be affected by the closure of hospitals, doctors offices, manufacturing sites, or country borders, among other measures being put in place around the world. Consequent increases in layoffs and furloughs in the medical industry and otherwise during the shutdown are having, and will continue to have, negative impact on the demand for medical care and diagnostic tests, which affects the frequency with which tests are prescribed, and the ability of doctors and hospitals to administer such tests. Further the inability to travel and conduct face-to-face meetings can also make it more difficult to expand utilization of our products into new geographies and to drive awareness of our products. Any of these circumstances will potentially have a negative impact on our financial results and liquidity in fiscal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6"/>
          <w:szCs w:val="16"/>
          <w:color w:val="auto"/>
        </w:rPr>
        <w:t>As for our own business, during the second half of March 2020 through the date of this filing, we experienced a significant decline in the volume of samples received resulting in a significant decline in revenue and it is currently unclear how long we will continue to experience decreased sample volumes and levels of revenue. The COVID-19 pandemic has also caused us to modify our business practices, including taking proactive steps to protect our employees and the broader community (including but not limited to curtailing or modifying employee travel, moving to full remote work wherever possible, and cancelling physical participation in meetings, events and conferences), while ensuring our ability to deliver genomic test results to physicians and their patients who need them. Given the significant challenges we face from COVID-19, we have taken actions to reduce expenses and preserve the health of our business, including our board of directors, executive team, including our Chairman and CEO, and certain other employees taking a reduction in pay until we are able to resume normal operations. We have also put approximately 60 employees on a temporary furlough with a current goal of bringing them back from furlough in the future, terminated a small number of employees, and instituted a temporary hiring freeze. We may take further actions as may be required by government authorities or that we determine are in the best interests of our employees, customers and business partners.</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extent of the impact of the COVID-19 on our future liquidity and operational performance will depend on certain developments, including the duration and spread of the outbreak, the impact on our customers' operations and the impact to our sales and renewal cycles.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first quarter of 2020, as compared with the first quarter of 2019:</w:t>
      </w:r>
    </w:p>
    <w:p>
      <w:pPr>
        <w:spacing w:after="0" w:line="239" w:lineRule="exact"/>
        <w:rPr>
          <w:sz w:val="20"/>
          <w:szCs w:val="20"/>
          <w:color w:val="auto"/>
        </w:rPr>
      </w:pPr>
    </w:p>
    <w:p>
      <w:pPr>
        <w:ind w:left="660" w:right="20" w:hanging="328"/>
        <w:spacing w:after="0" w:line="24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Total Testing and Product Revenue </w:t>
      </w:r>
      <w:r>
        <w:rPr>
          <w:rFonts w:ascii="Arial" w:cs="Arial" w:eastAsia="Arial" w:hAnsi="Arial"/>
          <w:sz w:val="18"/>
          <w:szCs w:val="18"/>
          <w:color w:val="auto"/>
        </w:rPr>
        <w:t>was $30.4 million, an increase of 20%; including biopharmaceutical revenue, total revenue was $31.1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5%;</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61%, which included a $1.1 million write-down of supplies;</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$31.1 million, an increase of 35%;</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$(11.7) million, versus $(1.9) million;</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$(0.24), versus $(0.05);</w:t>
      </w:r>
    </w:p>
    <w:p>
      <w:pPr>
        <w:ind w:left="660" w:hanging="328"/>
        <w:spacing w:after="0" w:line="23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$5.3 million, versus $1.0 million;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$153.1 million at March 31, 2020</w:t>
      </w:r>
      <w:r>
        <w:rPr>
          <w:rFonts w:ascii="Arial" w:cs="Arial" w:eastAsia="Arial" w:hAnsi="Arial"/>
          <w:sz w:val="18"/>
          <w:szCs w:val="18"/>
          <w:i w:val="1"/>
          <w:iCs w:val="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and Recent Business Highlights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Diagnostics Business:</w:t>
      </w:r>
    </w:p>
    <w:p>
      <w:pPr>
        <w:spacing w:after="0" w:line="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Grew total genomic test volume (Afirma, Percepta and Envisia) by 15% to 10,559 tests.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Launched “More About You,” a national campaign to help patients navigate the work-up of thyroid nodules and ask for Afirma testing by name.</w:t>
      </w:r>
    </w:p>
    <w:p>
      <w:pPr>
        <w:spacing w:after="0" w:line="18" w:lineRule="exact"/>
        <w:rPr>
          <w:rFonts w:ascii="Arial" w:cs="Arial" w:eastAsia="Arial" w:hAnsi="Arial"/>
          <w:sz w:val="16"/>
          <w:szCs w:val="16"/>
          <w:color w:val="auto"/>
        </w:rPr>
      </w:pPr>
    </w:p>
    <w:p>
      <w:pPr>
        <w:ind w:left="660" w:hanging="328"/>
        <w:spacing w:after="0" w:line="24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Announced that data accepted for oral presentation at the ENDO 2020 conference identified novel or rare gene fusions that are included in the newly expanded Afirma Xpression Atlas and may potentially be targeted with drugs that are approved or under development.</w:t>
      </w:r>
    </w:p>
    <w:p>
      <w:pPr>
        <w:spacing w:after="0" w:line="1" w:lineRule="exact"/>
        <w:rPr>
          <w:rFonts w:ascii="Arial" w:cs="Arial" w:eastAsia="Arial" w:hAnsi="Arial"/>
          <w:sz w:val="17"/>
          <w:szCs w:val="17"/>
          <w:color w:val="auto"/>
        </w:rPr>
      </w:pPr>
    </w:p>
    <w:p>
      <w:pPr>
        <w:jc w:val="both"/>
        <w:ind w:left="660" w:hanging="328"/>
        <w:spacing w:after="0" w:line="23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Reported new data published in </w:t>
      </w:r>
      <w:r>
        <w:rPr>
          <w:rFonts w:ascii="Arial" w:cs="Arial" w:eastAsia="Arial" w:hAnsi="Arial"/>
          <w:sz w:val="18"/>
          <w:szCs w:val="18"/>
          <w:i w:val="1"/>
          <w:iCs w:val="1"/>
          <w:color w:val="auto"/>
        </w:rPr>
        <w:t>npj Breast Cancer</w:t>
      </w:r>
      <w:r>
        <w:rPr>
          <w:rFonts w:ascii="Arial" w:cs="Arial" w:eastAsia="Arial" w:hAnsi="Arial"/>
          <w:sz w:val="18"/>
          <w:szCs w:val="18"/>
          <w:color w:val="auto"/>
        </w:rPr>
        <w:t xml:space="preserve">, which suggest potential growth opportunities for the Prosigna test in global markets where the test reports intrinsic breast cancer subtypes. Additionally, data published in </w:t>
      </w:r>
      <w:r>
        <w:rPr>
          <w:rFonts w:ascii="Arial" w:cs="Arial" w:eastAsia="Arial" w:hAnsi="Arial"/>
          <w:sz w:val="18"/>
          <w:szCs w:val="18"/>
          <w:i w:val="1"/>
          <w:iCs w:val="1"/>
          <w:color w:val="auto"/>
        </w:rPr>
        <w:t>Clinical Breast Cancer</w:t>
      </w:r>
      <w:r>
        <w:rPr>
          <w:rFonts w:ascii="Arial" w:cs="Arial" w:eastAsia="Arial" w:hAnsi="Arial"/>
          <w:sz w:val="18"/>
          <w:szCs w:val="18"/>
          <w:color w:val="auto"/>
        </w:rPr>
        <w:t xml:space="preserve"> suggest the Prosigna test’s ability to provide significant prognostic information beyond clinicopathologic factors in patients with invasive lobular breast cancer, a major breast cancer histopathologic subtype.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Collaborations and Pipeline Advancement:</w:t>
      </w:r>
    </w:p>
    <w:p>
      <w:pPr>
        <w:spacing w:after="0" w:line="12" w:lineRule="exact"/>
        <w:rPr>
          <w:sz w:val="20"/>
          <w:szCs w:val="20"/>
          <w:color w:val="auto"/>
        </w:rPr>
      </w:pPr>
    </w:p>
    <w:p>
      <w:pPr>
        <w:jc w:val="both"/>
        <w:ind w:left="660" w:hanging="328"/>
        <w:spacing w:after="0" w:line="23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Secured an exclusive licensing and research agreement with Yale University to advance the first genomic monitoring test for idiopathic pulmonary fibrosis prognosis, complementing our Envisia classifier for improved early diagnosis of the disease. The non-invasive, blood-based test was developed for use on our nCounter diagnostic platform.</w:t>
      </w:r>
    </w:p>
    <w:p>
      <w:pPr>
        <w:spacing w:after="0" w:line="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Signed an exclusive licensing agreement with Boston University for technology that will help advance development of the first-ever, non-invasive nasal swab test for lung cancer early detection.</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a multi-year collaboration with Acerta Pharma, the hematology research and development arm of AstraZeneca plc, to provide genomic information that will support the biopharmaceutical company’s development of oncology therapeutics in lymphoma.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ind w:firstLine="648"/>
        <w:spacing w:after="0" w:line="252" w:lineRule="auto"/>
        <w:rPr>
          <w:sz w:val="20"/>
          <w:szCs w:val="20"/>
          <w:color w:val="auto"/>
        </w:rPr>
      </w:pPr>
      <w:r>
        <w:rPr>
          <w:rFonts w:ascii="Arial" w:cs="Arial" w:eastAsia="Arial" w:hAnsi="Arial"/>
          <w:sz w:val="17"/>
          <w:szCs w:val="17"/>
          <w:color w:val="auto"/>
        </w:rPr>
        <w:t>The extent of the impact of the COVID-19 outbreak on our operational and financial performance will depend on certain developments, including the duration and spread of the outbreak, impact on our customers and our sales cycles, employee or industry events, and effect on our vendors, all of which are uncertain and cannot be predicted. The COVID-19 pandemic and its adverse effects have become more prevalent in the locations where we, our customers, suppliers or third-party business partners conduct business and as a result, we have begun to experience more pronounced disruptions in our operations. We may experience constrained supply or curtailed customer demand that could materially adversely impact our business, results of operations and overall financial performance in future periods. Specifically, we may experience impact from changes in how hospital and physicians treat their patients and the frequency of their interaction with their patients, our ability to have in-person meetings with physicians and other customers and drive education and interest in our tests, and difficulties and changes to our sales, logistics, testing, customer support and other processes. As of the filing date of this Form 10-Q, the extent to which COVID-19 may impact our financial condition or results of operations or guidance is uncertain. The effect of the COVID-19 pandemic will not be fully reflected in our results of operations and overall financial performance until future periods. See Risk Factors for further discussion of the possible impact of the COVID-19 pandemic on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97" w:lineRule="exact"/>
        <w:rPr>
          <w:sz w:val="20"/>
          <w:szCs w:val="20"/>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on patients seeking to have tests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receipt of the necessary documentation, such as physician order and patient consent, required to perform, bill and collect for our tests;</w:t>
      </w:r>
    </w:p>
    <w:p>
      <w:pPr>
        <w:spacing w:after="0" w:line="32" w:lineRule="exact"/>
        <w:rPr>
          <w:rFonts w:ascii="Arial" w:cs="Arial" w:eastAsia="Arial" w:hAnsi="Arial"/>
          <w:sz w:val="16"/>
          <w:szCs w:val="16"/>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1300" w:hanging="401"/>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104"/>
        <w:spacing w:after="0" w:line="269" w:lineRule="auto"/>
        <w:rPr>
          <w:sz w:val="20"/>
          <w:szCs w:val="20"/>
          <w:color w:val="auto"/>
        </w:rPr>
      </w:pPr>
      <w:r>
        <w:rPr>
          <w:rFonts w:ascii="Arial" w:cs="Arial" w:eastAsia="Arial" w:hAnsi="Arial"/>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Integrating acquired assets and advances to our collaborations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growth, operational results and advances to our business strategy depends on our ability to integrate the assets acquired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NanoString in December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2019 may impact our revenue and operating results through integration of a sales force, development of a product supply operation and the expansion of our business internationally with a broad menu of advanced genomic tests that may be offered.</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growth or reimbursement from our collaborations depends on our ability to deliver services or information and achieve milestones required from our collaborative partners. Our collaboration partners pay us for the provision of data, other services and the achievement of milestones. Under a collaboration with Johnson &amp; Johnson in 2018, we provided data services required under this agreement for $7.0 million in 2019, however, there remains $9.0 of revenue associated with development and commercialization milestones yet to be achieved.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Testing Revenue</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recognize testing revenue in accordance with the provisions of ASC 606, Revenue from Contracts with Customers. Most of our revenue is generated from the provision of diagnostic testing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Prior to the adoption of ASC 606, for our testing services we recognized a portion of our revenue not at the time of delivery of test results, on an accrual-basis of accounting, but upon the ultimate payment for those services, on the cash-basis of accounting. Through December 31, 2019,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three months ended March 31, 2020 and we have no expectation of future collection because we began accruing for substantially all revenue upon delivery of a patient report in the third quarter of 2016. Under ASC 606, we recognize revenue at the time we deliver test results based upon what we reasonably expect to collect and the list price of a test may not be indicative of what we ultimately expect to collect.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21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March 31, 2020, we accrued, on average, between $2,800 and $2,900 for the Afirma genomic classifier tests, including variants, that met our revenue recognition standard, which was between 90% - 95% of the reported Afirma classifier test volume.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From the first quarter of 2019 to the first quarter of 2020, we accrued between $1.0 million and $2.4 million in revenue per quarter from providing cytopathology services associated with our Afirma solution.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began recognizing product revenue in December 2019 in accordance with the provisions of ASC 606, Revenue from Contracts with Customers, when we executed an agreement with NanoString for the exclusive worldwide license to the nCounter platform and the acquisition of products for in vitro diagnostic use.</w:t>
      </w:r>
    </w:p>
    <w:p>
      <w:pPr>
        <w:spacing w:after="0" w:line="20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products consist of the Prosigna breast cancer assay, the nCounter FLEX Analysis System and related consumables. Revenues are presented net of the taxes that are collected from customers and remitted to governmental authorities.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Biopharmaceutical and Collaboration Revenues</w:t>
      </w:r>
    </w:p>
    <w:p>
      <w:pPr>
        <w:spacing w:after="0" w:line="25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From time to time, we enter into arrangements to license or provide access to our assets or services, including testing services, clinical and medical services, research and development and other services. Such arrangements may require us to deliver various rights, data, services, access and/or testing services to leading biopharmaceutical companies. The underlying terms of these arrangements generally provide for consideration paid to us in the form of nonrefundable fees, performance milestone payments, expense reimbursements and possibly royalty and/or other payments.</w:t>
      </w:r>
    </w:p>
    <w:p>
      <w:pPr>
        <w:spacing w:after="0" w:line="1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terms of our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Arrangements with partners may fall under the scope of ASC Topic 808, Collaborative Arrangements, or ASC 808. While these arrangements are in the scope of ASC 808, we may analogize to ASC 606 for some aspects of these arrangements. We analogize to ASC 606 for certain activities within the collaborative arrangement for the delivery to a customer of a good or service (i.e., a unit of account) that is part of our ongoing major or central operations.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selling price on a stand-alone basis is not available.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is transferred or services are performed.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revenues generated from royalties or profit sharing as the underlying sales occur.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Net sales of data or other services to our customers are classified under biopharmaceutical revenue, and all other non-customer revenue, such as milestones, are classified under collaboration revenue in our consolidated statements of operations and comprehensive loss. Payments made to us that are not net sales of data or other services to our customers are recorded as an offset against research and development expense in our consolidated statements of operations and comprehensive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Tests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advance our portfolio of diagnostic tests that leverage innovations in genomic science, sequencing technology, machine learning and leveraging our new nCounter Analysis System to further improve patient care globally.</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May 2017, we introduced the Afirma GSC, supported by rigorous clinical validation data showing that the RNA sequencing-based test can help significantly more patients avoid unnecessary surgery in thyroid cancer diagnosis, compared to the original Afirma classifier. The Afirma GSC and Xpression Atlas, originally launched in March 2018 with an expanded version launched in April 2020, provide physicians with a comprehensive solution for thyroid nodule diagnosis. The Afirma GSC was developed with RNA whole-transcriptome sequencing and machine learning and helps identify patients with benign thyroid nodules among those with indeterminate cytopathology results in order to help patients avoid unnecessary diagnostic thyroid surgery. For those with suspected thyroid cancer, the Afirma Xpression Atlas provides physicians with genomic alteration content from the same fine needle aspiration samples that are used in Afirma GSC testing and may help physicians decide with greater confidence on the surgical or therapeutic pathway for their patients.</w:t>
      </w:r>
    </w:p>
    <w:p>
      <w:pPr>
        <w:spacing w:after="0" w:line="22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7"/>
          <w:szCs w:val="17"/>
          <w:color w:val="auto"/>
        </w:rPr>
        <w:t>The expanded Afirma XA test, launched in April 2020, provides physicians with additional gene alteration content – including novel or rare NTRK, ALK, RET and BRAF fusions to further inform surgery and treatment decisions for patients with suspected or confirmed thyroid cancer. The Afirma XA utilizes RNA sequencing on the same FNA sample used for Afirma GSC testing. Compared to the original gene alteration panel, the expanded Afirma XA now reports 905 DNA variants (versus 761) and 235 RNA fusion partners (versus 130) in 593 genes (versus 511).</w:t>
      </w:r>
    </w:p>
    <w:p>
      <w:pPr>
        <w:spacing w:after="0" w:line="19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or Malignancy Classifiers, the Afirma XA rounds out a comprehensive solution for physicians evaluating thyroid nodules. This innovation also enables us to enter into research collaborations with biopharmaceutical companies, which is intended to support their development of targeted therapies for genetically defined cancers, including thyroid cancer.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In June 2019, we began making our “next-generation” Percepta Genomic Sequencing Classifier available to physicians, providing them with expanded lung cancer risk information that can further guide next steps for patients with suspicious lung nodules, as compared to the Percepta Bronchial Genomic Classifier.</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our Envisia Genomic Classifier, launched in October 2016, is the first commercial test to improve the diagnosis of IPF among patients with a suspected interstitial lung disease. In March 2019, we received final Medicare coverage for the Envisia classifier through the MolDX program, with an effective date of April 1, 2019.</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believe our Xpression Atlas platform can be transferred to our pulmonology indications, to further improve patient care and advance precision medicine in lung cancer and IPF.</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In October 2019, we announced preliminary clinical data for our noninvasive nasal swab classifier - the first test of its kind. The findings show that the novel genomic test can accurately classify lung cancer risk in patients with lung nodules so that these patients can obtain the prompt diagnosis and potential treatment they need or may be monitored noninvasively.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March 31, 2020, we had derived most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r>
      <w:tr>
        <w:trPr>
          <w:trHeight w:val="196"/>
        </w:trPr>
        <w:tc>
          <w:tcPr>
            <w:tcW w:w="76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Johnson and Johnson Services, Inc.</w:t>
            </w:r>
          </w:p>
        </w:tc>
        <w:tc>
          <w:tcPr>
            <w:tcW w:w="152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UnitedHealthcare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6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76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components of our cost of testing revenue are laboratory expenses,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cost of product revenue consists primarily of costs of purchasing instruments and consumables from third-party contract manufacturers, installation, warranty, service and packaging and delivery costs. In addition, cost of product includes royalty costs for licensed technologies included in our products and labor expenses. As our Prosigna kits are sold in various configurations with different number of tests, our product cost per test will vary based on the specific kit configuration purchased by customers.</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cost of biopharmaceutical revenue are the costs of performing activities under arrangements that require us to perform research and development services on behalf of a customer pursuant to a biopharmaceutical service agreement, and is mainly comprised of compensation expense and pass through costs.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2019. We incurred a majority of our research and development expenses in the three months ended March 31, 2020 in support of our pipeline products, and expect this to continue in the remainder of 2020 and beyond.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three months ended March 31, 2020, approximately 68%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finite-lived intangible assets, acquired in business combinations, are being amortized over 5 to 15 years, using the straight-line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expected to be approximately $5.1 million per year through 2024 and decrease thereafter.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consists primarily of sublease rental income and interest income from our cash held in interest bearing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Comparison of the three months ended March 31, 2020 and 2019 (in thousands of dollars, except percentages and genomic classifiers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7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gridSpan w:val="8"/>
            <w:shd w:val="clear" w:color="auto" w:fill="CCEEFF"/>
          </w:tcPr>
          <w:p>
            <w:pPr>
              <w:ind w:left="60"/>
              <w:spacing w:after="0"/>
              <w:rPr>
                <w:sz w:val="20"/>
                <w:szCs w:val="20"/>
                <w:color w:val="auto"/>
              </w:rPr>
            </w:pPr>
            <w:r>
              <w:rPr>
                <w:rFonts w:ascii="Arial" w:cs="Arial" w:eastAsia="Arial" w:hAnsi="Arial"/>
                <w:sz w:val="14"/>
                <w:szCs w:val="14"/>
                <w:b w:val="1"/>
                <w:bCs w:val="1"/>
                <w:color w:val="auto"/>
                <w:w w:val="98"/>
              </w:rPr>
              <w:t>Three Months Ended March 31,</w:t>
            </w:r>
          </w:p>
        </w:tc>
        <w:tc>
          <w:tcPr>
            <w:tcW w:w="900" w:type="dxa"/>
            <w:vAlign w:val="bottom"/>
            <w:tcBorders>
              <w:bottom w:val="single" w:sz="8" w:color="auto"/>
            </w:tcBorders>
            <w:shd w:val="clear" w:color="auto" w:fill="CCEEFF"/>
          </w:tcPr>
          <w:p>
            <w:pPr>
              <w:spacing w:after="0"/>
              <w:rPr>
                <w:sz w:val="17"/>
                <w:szCs w:val="17"/>
                <w:color w:val="auto"/>
              </w:rPr>
            </w:pPr>
          </w:p>
        </w:tc>
      </w:tr>
      <w:tr>
        <w:trPr>
          <w:trHeight w:val="190"/>
        </w:trPr>
        <w:tc>
          <w:tcPr>
            <w:tcW w:w="7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26,991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1"/>
              <w:spacing w:after="0"/>
              <w:rPr>
                <w:sz w:val="20"/>
                <w:szCs w:val="20"/>
                <w:color w:val="auto"/>
              </w:rPr>
            </w:pPr>
            <w:r>
              <w:rPr>
                <w:rFonts w:ascii="Arial" w:cs="Arial" w:eastAsia="Arial" w:hAnsi="Arial"/>
                <w:sz w:val="18"/>
                <w:szCs w:val="18"/>
                <w:color w:val="auto"/>
                <w:w w:val="94"/>
              </w:rPr>
              <w:t>25,389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6%</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revenue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NM</w:t>
            </w: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Biopharmaceutical revenue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(83)%</w:t>
            </w: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3"/>
        </w:trPr>
        <w:tc>
          <w:tcPr>
            <w:tcW w:w="7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29,529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testing revenue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24%</w:t>
            </w: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1"/>
                <w:szCs w:val="21"/>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rPr>
              <w:t>NM</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biopharmaceutical revenue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NM</w:t>
            </w: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28%</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and marketing</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12,477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41%</w:t>
            </w:r>
          </w:p>
        </w:tc>
      </w:tr>
      <w:tr>
        <w:trPr>
          <w:trHeight w:val="243"/>
        </w:trPr>
        <w:tc>
          <w:tcPr>
            <w:tcW w:w="714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13%</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378%</w:t>
            </w:r>
          </w:p>
        </w:tc>
      </w:tr>
      <w:tr>
        <w:trPr>
          <w:trHeight w:val="237"/>
        </w:trPr>
        <w:tc>
          <w:tcPr>
            <w:tcW w:w="71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4"/>
              </w:rPr>
              <w:t>31,596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11,726</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37%</w:t>
            </w: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(10,133)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490%</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(82)%</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r>
      <w:tr>
        <w:trPr>
          <w:trHeight w:val="263"/>
        </w:trPr>
        <w:tc>
          <w:tcPr>
            <w:tcW w:w="71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(11,716)</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8"/>
              </w:rPr>
              <w:t>(1,917)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(9,799)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511%</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217"/>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Genomic classifiers reported</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9,162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15%</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109%</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51"/>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65%</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During the second half of March 2020, we experienced a significant decline in the volume of samples received resulting in a significant decline in revenue due to COVID-19. In spite of this, revenue increased $1.6 million, or 5%, for the three months ended March 31, 2020 compared to the same period in 2019. This was primarily due to $3.4 million of sales of Prosigna, a product that we acquired the rights to from NanoString in December 2019, and a $1.6 million increase in testing revenue from a 15% increase in our Afirma, Percepta, and Envisia genomic classifiers reported. We also make adjustments, as necessary, for testing revenue accrued in prior periods as collections are made if the amount we expect to collect changes. The adjustment for testing revenue accrued in prior periods decreased revenue by $0.1 million and increased revenue by $0.6 million for the three months ended March 31, 2020 and 2019, respectively, a net decrease of $0.7 million between the periods. Biopharmaceutical revenue decreased $3.4 million, mainly due to the performance of data sequencing services for Johnson &amp; Johnson in the prior year period that did not recur in the three months ended March 31,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Comparison of the three months ended March 31, 2020 and 2019 is as follows (in thousands of dollars,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8"/>
              </w:rPr>
              <w:t>Three Months Ended March 31,</w:t>
            </w:r>
          </w:p>
        </w:tc>
        <w:tc>
          <w:tcPr>
            <w:tcW w:w="920" w:type="dxa"/>
            <w:vAlign w:val="bottom"/>
            <w:tcBorders>
              <w:bottom w:val="single" w:sz="8" w:color="auto"/>
            </w:tcBorders>
          </w:tcPr>
          <w:p>
            <w:pPr>
              <w:spacing w:after="0"/>
              <w:rPr>
                <w:sz w:val="16"/>
                <w:szCs w:val="16"/>
                <w:color w:val="auto"/>
              </w:rPr>
            </w:pPr>
          </w:p>
        </w:tc>
      </w:tr>
      <w:tr>
        <w:trPr>
          <w:trHeight w:val="196"/>
        </w:trPr>
        <w:tc>
          <w:tcPr>
            <w:tcW w:w="7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36"/>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testing revenue: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Laboratory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6,220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33%</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Sample collection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 fees and royalties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600%</w:t>
            </w: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w:t>
            </w: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Allocations</w:t>
            </w:r>
          </w:p>
        </w:tc>
        <w:tc>
          <w:tcPr>
            <w:tcW w:w="20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7%</w:t>
            </w:r>
          </w:p>
        </w:tc>
      </w:tr>
      <w:tr>
        <w:trPr>
          <w:trHeight w:val="27"/>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4"/>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10,568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Product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1,220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NM</w:t>
            </w: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 fees and royalties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NM</w:t>
            </w:r>
          </w:p>
        </w:tc>
      </w:tr>
      <w:tr>
        <w:trPr>
          <w:trHeight w:val="263"/>
        </w:trPr>
        <w:tc>
          <w:tcPr>
            <w:tcW w:w="718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2"/>
                <w:szCs w:val="22"/>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NM</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Cost of biopharmaceutical revenue:</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Compensation expense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NM</w:t>
            </w: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NM</w:t>
            </w:r>
          </w:p>
        </w:tc>
      </w:tr>
      <w:tr>
        <w:trPr>
          <w:trHeight w:val="27"/>
        </w:trPr>
        <w:tc>
          <w:tcPr>
            <w:tcW w:w="7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3"/>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NM</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testing revenue increased $2.1 million, or 24%, for the three months ended March 31, 2020 compared to the same period in 2019. The increase in laboratory costs was due to a $1.1 million write-down of supplies for the potential expiration of reagents due to an anticipated decline in volumes resulting from the COVID-19 pandemic. The increase in sample collection costs primarily relates to a 15% increase in the volume of genomic classifiers reported. The increase in compensation expense primarily relates to an average laboratory headcount increase of 16%.</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product revenue is related to sales of Prosigna.</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biopharmaceutical revenue includes labor costs incurred by our employees working on biopharmaceutical customer projects and pass-through expenses incurred on these projects. Biopharmaceutical revenue recognized in the prior year period was mainly for the sale of sequencing data and had no related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2020 and 2019 is as follows (in thousands of dollars, except percentages):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6"/>
        </w:trPr>
        <w:tc>
          <w:tcPr>
            <w:tcW w:w="7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r>
      <w:tr>
        <w:trPr>
          <w:trHeight w:val="236"/>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2,870</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740</w:t>
            </w:r>
          </w:p>
        </w:tc>
        <w:tc>
          <w:tcPr>
            <w:tcW w:w="84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35%</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 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365</w:t>
            </w:r>
          </w:p>
        </w:tc>
        <w:tc>
          <w:tcPr>
            <w:tcW w:w="84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63%</w:t>
            </w: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840" w:type="dxa"/>
            <w:vAlign w:val="bottom"/>
            <w:gridSpan w:val="2"/>
          </w:tcPr>
          <w:p>
            <w:pPr>
              <w:jc w:val="center"/>
              <w:ind w:left="12"/>
              <w:spacing w:after="0"/>
              <w:rPr>
                <w:sz w:val="20"/>
                <w:szCs w:val="20"/>
                <w:color w:val="auto"/>
              </w:rPr>
            </w:pPr>
            <w:r>
              <w:rPr>
                <w:rFonts w:ascii="Arial" w:cs="Arial" w:eastAsia="Arial" w:hAnsi="Arial"/>
                <w:sz w:val="18"/>
                <w:szCs w:val="18"/>
                <w:color w:val="auto"/>
                <w:w w:val="95"/>
              </w:rPr>
              <w:t>(38)%</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84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13%</w:t>
            </w:r>
          </w:p>
        </w:tc>
      </w:tr>
      <w:tr>
        <w:trPr>
          <w:trHeight w:val="243"/>
        </w:trPr>
        <w:tc>
          <w:tcPr>
            <w:tcW w:w="7240" w:type="dxa"/>
            <w:vAlign w:val="bottom"/>
          </w:tcPr>
          <w:p>
            <w:pPr>
              <w:ind w:left="1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840" w:type="dxa"/>
            <w:vAlign w:val="bottom"/>
            <w:gridSpan w:val="2"/>
          </w:tcPr>
          <w:p>
            <w:pPr>
              <w:jc w:val="center"/>
              <w:ind w:left="12"/>
              <w:spacing w:after="0"/>
              <w:rPr>
                <w:sz w:val="20"/>
                <w:szCs w:val="20"/>
                <w:color w:val="auto"/>
              </w:rPr>
            </w:pPr>
            <w:r>
              <w:rPr>
                <w:rFonts w:ascii="Arial" w:cs="Arial" w:eastAsia="Arial" w:hAnsi="Arial"/>
                <w:sz w:val="18"/>
                <w:szCs w:val="18"/>
                <w:color w:val="auto"/>
                <w:w w:val="95"/>
              </w:rPr>
              <w:t>(51)%</w:t>
            </w:r>
          </w:p>
        </w:tc>
      </w:tr>
      <w:tr>
        <w:trPr>
          <w:trHeight w:val="27"/>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63"/>
        </w:trPr>
        <w:tc>
          <w:tcPr>
            <w:tcW w:w="724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972</w:t>
            </w:r>
          </w:p>
        </w:tc>
        <w:tc>
          <w:tcPr>
            <w:tcW w:w="84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28%</w:t>
            </w: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Research and development expense increased $1.0 million, or 28%, for the three months ended March 31, 2020 compared to the same period in 2019. The increase in compensation expense was primarily due to an 18% increase in average headcount and higher stock-based compensation expense from the increase in our stock price over the last two years. The increase in direct research and development expense was mainly due to an increase in clinical trial activity for our pipeline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2020 and 2019 is as follows (in thousands of dollars,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r>
      <w:tr>
        <w:trPr>
          <w:trHeight w:val="236"/>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12,515</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4,801</w:t>
            </w:r>
          </w:p>
        </w:tc>
        <w:tc>
          <w:tcPr>
            <w:tcW w:w="84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62%</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Direct marketing expense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c>
          <w:tcPr>
            <w:tcW w:w="8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5"/>
              </w:rPr>
              <w:t>(27)%</w:t>
            </w: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84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(11)%</w:t>
            </w:r>
          </w:p>
        </w:tc>
      </w:tr>
      <w:tr>
        <w:trPr>
          <w:trHeight w:val="27"/>
        </w:trPr>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expenses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547</w:t>
            </w:r>
          </w:p>
        </w:tc>
        <w:tc>
          <w:tcPr>
            <w:tcW w:w="84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27%</w:t>
            </w:r>
          </w:p>
        </w:tc>
      </w:tr>
      <w:tr>
        <w:trPr>
          <w:trHeight w:val="243"/>
        </w:trPr>
        <w:tc>
          <w:tcPr>
            <w:tcW w:w="7280" w:type="dxa"/>
            <w:vAlign w:val="bottom"/>
          </w:tcPr>
          <w:p>
            <w:pPr>
              <w:ind w:left="120"/>
              <w:spacing w:after="0"/>
              <w:rPr>
                <w:sz w:val="20"/>
                <w:szCs w:val="20"/>
                <w:color w:val="auto"/>
              </w:rPr>
            </w:pPr>
            <w:r>
              <w:rPr>
                <w:rFonts w:ascii="Arial" w:cs="Arial" w:eastAsia="Arial" w:hAnsi="Arial"/>
                <w:sz w:val="18"/>
                <w:szCs w:val="18"/>
                <w:color w:val="auto"/>
              </w:rPr>
              <w:t>Allocations</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73"/>
              <w:spacing w:after="0"/>
              <w:rPr>
                <w:sz w:val="20"/>
                <w:szCs w:val="20"/>
                <w:color w:val="auto"/>
              </w:rPr>
            </w:pPr>
            <w:r>
              <w:rPr>
                <w:rFonts w:ascii="Arial" w:cs="Arial" w:eastAsia="Arial" w:hAnsi="Arial"/>
                <w:sz w:val="18"/>
                <w:szCs w:val="18"/>
                <w:color w:val="auto"/>
              </w:rPr>
              <w:t>233</w:t>
            </w:r>
          </w:p>
        </w:tc>
        <w:tc>
          <w:tcPr>
            <w:tcW w:w="84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31%</w:t>
            </w:r>
          </w:p>
        </w:tc>
      </w:tr>
      <w:tr>
        <w:trPr>
          <w:trHeight w:val="27"/>
        </w:trPr>
        <w:tc>
          <w:tcPr>
            <w:tcW w:w="7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84"/>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17,584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12,477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5,107</w:t>
            </w:r>
          </w:p>
        </w:tc>
        <w:tc>
          <w:tcPr>
            <w:tcW w:w="84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41%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and marketing expense increased $5.1 million, or 41%, for the three months ended March 31, 2020 compared to the same period in 2019. The increase in compensation expense was primarily due to an average headcount increase of 60%, higher incentive compensation and higher stock-based compensation expense. The decrease in direct marketing expense was due to lower general marketing expenditures. The increase in other expenses was primarily due to travel and entertainment expenses related to the increase in headcount, as was the increase in allocations.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months ended March 31, 2020 and 2019 is as follows (in thousands of dollars,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96"/>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r>
      <w:tr>
        <w:trPr>
          <w:trHeight w:val="236"/>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4,988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788</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19%</w:t>
            </w:r>
          </w:p>
        </w:tc>
      </w:tr>
      <w:tr>
        <w:trPr>
          <w:trHeight w:val="27"/>
        </w:trPr>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670</w:t>
            </w:r>
          </w:p>
        </w:tc>
        <w:tc>
          <w:tcPr>
            <w:tcW w:w="8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29%</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Occupancy expenses</w:t>
            </w:r>
          </w:p>
        </w:tc>
        <w:tc>
          <w:tcPr>
            <w:tcW w:w="2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7%</w:t>
            </w:r>
          </w:p>
        </w:tc>
      </w:tr>
      <w:tr>
        <w:trPr>
          <w:trHeight w:val="27"/>
        </w:trPr>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8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2"/>
              </w:rPr>
              <w:t>2%</w:t>
            </w:r>
          </w:p>
        </w:tc>
      </w:tr>
      <w:tr>
        <w:trPr>
          <w:trHeight w:val="243"/>
        </w:trPr>
        <w:tc>
          <w:tcPr>
            <w:tcW w:w="7220" w:type="dxa"/>
            <w:vAlign w:val="bottom"/>
          </w:tcPr>
          <w:p>
            <w:pPr>
              <w:ind w:left="12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(29)%</w:t>
            </w:r>
          </w:p>
        </w:tc>
      </w:tr>
      <w:tr>
        <w:trPr>
          <w:trHeight w:val="27"/>
        </w:trPr>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840" w:type="dxa"/>
            <w:vAlign w:val="bottom"/>
            <w:tcBorders>
              <w:bottom w:val="single" w:sz="8" w:color="CCEEFF"/>
            </w:tcBorders>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8"/>
              </w:rPr>
              <w:t>18%</w:t>
            </w:r>
          </w:p>
        </w:tc>
      </w:tr>
      <w:tr>
        <w:trPr>
          <w:trHeight w:val="263"/>
        </w:trPr>
        <w:tc>
          <w:tcPr>
            <w:tcW w:w="722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7,813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909</w:t>
            </w:r>
          </w:p>
        </w:tc>
        <w:tc>
          <w:tcPr>
            <w:tcW w:w="8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13%</w:t>
            </w:r>
          </w:p>
        </w:tc>
      </w:tr>
      <w:tr>
        <w:trPr>
          <w:trHeight w:val="20"/>
        </w:trPr>
        <w:tc>
          <w:tcPr>
            <w:tcW w:w="7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$1.6 million, or 24%, for the three months ended March 31, 2020 compared to the same period in 2019. The increase in compensation expense was primarily due to higher stock-based compensation expense from the increase in our stock price over the last two years. The increase in professional fees was primarily accounting and legal-related. The decrease in other expenses was primarily due to the revaluation of the contingent consideration for the NanoString transaction.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Interest expense decreased $248,000, or 82%, for the three months ended March 31, 2020 compared to the same period in 2019, mainly due to the prepayments of $12.5 million and $12.4 million of the principal amount of our Term Loan Advance in January 2019 and May 2019, respectively. The average Term Loan Advance interest rate was 5.80% and 6.68% for the three months ended March 31, 2020 and 2019,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66" w:lineRule="exact"/>
        <w:rPr>
          <w:sz w:val="20"/>
          <w:szCs w:val="20"/>
          <w:color w:val="auto"/>
        </w:rPr>
      </w:pPr>
    </w:p>
    <w:p>
      <w:pPr>
        <w:jc w:val="both"/>
        <w:ind w:firstLine="531"/>
        <w:spacing w:after="0" w:line="277" w:lineRule="auto"/>
        <w:rPr>
          <w:sz w:val="20"/>
          <w:szCs w:val="20"/>
          <w:color w:val="auto"/>
        </w:rPr>
      </w:pPr>
      <w:r>
        <w:rPr>
          <w:rFonts w:ascii="Arial" w:cs="Arial" w:eastAsia="Arial" w:hAnsi="Arial"/>
          <w:sz w:val="18"/>
          <w:szCs w:val="18"/>
          <w:color w:val="auto"/>
        </w:rPr>
        <w:t>Other income, net, increased $86,000 for the three months ended March 31, 2020 compared to the same period in 2019 primarily due to higher interest income from our cash and cash equivalents, which had higher balances in 2020, partially offset by lower interest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inception through March 31, 2020, we have been financed primarily through net proceeds from the sale of our equity securities and borrowings under our credit facilities. We have incurred net losses since our inception. For the three months ended March 31, 2020, we had a net loss of $11.7 million, and as of March 31, 2020, we had an accumulated deficit of $258.4 million. We expect to incur additional losses for the remainder of 2020 and potentially in future years.</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We believe our existing cash and cash equivalents of $153.1 million as of March 31, 2020,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including due to the impacts of the COVID-19 pandemic,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spacing w:after="0" w:line="252" w:lineRule="auto"/>
        <w:rPr>
          <w:sz w:val="20"/>
          <w:szCs w:val="20"/>
          <w:color w:val="auto"/>
        </w:rPr>
      </w:pPr>
      <w:r>
        <w:rPr>
          <w:rFonts w:ascii="Arial" w:cs="Arial" w:eastAsia="Arial" w:hAnsi="Arial"/>
          <w:sz w:val="17"/>
          <w:szCs w:val="17"/>
          <w:color w:val="auto"/>
        </w:rPr>
        <w:t>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interest rate for the three months ended March 31, 2020 was 5.8%.</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prepay the outstanding principal amount under the Term Loan Advance plus accrued and unpaid interest and, if the Term Loan Advance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Advance in the amount of $1.2 million is due upon the earlier of the maturity date of the Term Loan Advance or its payment in full. In January 2019 and May 2019, we prepaid $12.5 million and $12.4 million of the principal amount of the Term Loan Advance, respectively, and did not incur any prepayment premium as we did not repay the Term Loan Advance in full. These prepayments cover scheduled principal payments from November 2019 to September 2022.</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March 31, 2020, the principal balance outstanding was $0.1 million and we were in compliance with our debt covenants.</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three months ended March 31, 2020 and 2019 (in thousands of dollars):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49"/>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(1,011)</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(749)</w:t>
            </w:r>
          </w:p>
        </w:tc>
      </w:tr>
      <w:tr>
        <w:trPr>
          <w:trHeight w:val="27"/>
        </w:trPr>
        <w:tc>
          <w:tcPr>
            <w:tcW w:w="8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(8,394)</w:t>
            </w:r>
          </w:p>
        </w:tc>
      </w:tr>
      <w:tr>
        <w:trPr>
          <w:trHeight w:val="27"/>
        </w:trPr>
        <w:tc>
          <w:tcPr>
            <w:tcW w:w="8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operating activities for the three months ended March 31, 2020 was $5.3 million. The net loss of $11.7 million includes non-cash charges of $2.9 million of stock-based compensation expense, $2.0 million of depreciation and amortization, which includes $1.3 million of intangible asset amortization, a $1.1 million write-down of supplies, and a $0.5 million credit for the revaluation of the contingent consideration related to the NanoString transaction. Cash provided as a result of changes in operating assets and liabilities was $0.9 million, primarily comprised of an increase in accounts payable of $5.5 million, partially offset by a decrease in accrued liabilities of $3.7 million and increase in prepaid expense and other current assets of $0.8 million.</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operating activities for the three months ended March 31, 2019 was $1.0 million. The net loss of $1.9 million includes non-cash charges of $1.8 million of stock-based compensation expense and $0.9 million of depreciation and amortization, which includes $0.3 million of intangible asset amortization. Cash used as a result of changes in operating assets and liabilities was $1.8 million, comprised of an increase in accounts receivable of $3.4 million and increase in supplies of $0.4 million, partially offset by increases in accounts payable and accrued liabilities of $1.7 million and $0.3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three months ended March 31, 2020 was $0.7 million for the acquisition of property and equipment.</w:t>
      </w:r>
    </w:p>
    <w:p>
      <w:pPr>
        <w:spacing w:after="0" w:line="264" w:lineRule="exact"/>
        <w:rPr>
          <w:sz w:val="20"/>
          <w:szCs w:val="20"/>
          <w:color w:val="auto"/>
        </w:rPr>
      </w:pPr>
    </w:p>
    <w:p>
      <w:pPr>
        <w:jc w:val="both"/>
        <w:ind w:right="20" w:firstLine="437"/>
        <w:spacing w:after="0" w:line="277" w:lineRule="auto"/>
        <w:rPr>
          <w:sz w:val="20"/>
          <w:szCs w:val="20"/>
          <w:color w:val="auto"/>
        </w:rPr>
      </w:pPr>
      <w:r>
        <w:rPr>
          <w:rFonts w:ascii="Arial" w:cs="Arial" w:eastAsia="Arial" w:hAnsi="Arial"/>
          <w:sz w:val="18"/>
          <w:szCs w:val="18"/>
          <w:color w:val="auto"/>
        </w:rPr>
        <w:t>Cash used in investing activities for the three months ended March 31, 2019 was $0.7 million for the acquisition of property and equipment, net of proceeds from the disposal of property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financing activities for the three months ended March 31, 2020 was $0.2 million, consisting of $2.3 million in tax payments related to the vesting of restricted stock units granted to employees, partially offset by $2.1 million in proceeds from the exercise of options to purchase our common stock and purchase of stock under our Employee Stock Purchase Plan, or ESPP, during the period.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financing activities for the three months ended March 31, 2019 was $8.4 million, consisting of $12.5 million of loan principal repayments and finance lease payments of $0.1 million, partially offset by $4.2 million in proceeds from the exercise of options to purchase our common stock and purchase of stock under our Employee Stock Purchase Plan, or ESPP,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2019 and May 2019, we prepaid $12.5 million and $12.4 million of the principal amount of the Term Loan Advance, respectively, under our Loan and Security Agreement. As of March 31, 2020, future principal and end-of-term debt obligation payments due under the Loan and Security Agreement are limited to $1.3 million in 2022. There were no material changes during the interim period in the contractual obligations presented in our Form 10-K for the year ended December 31, 2019 filed with the Securities and Exchange Commission on February 25,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This ASU requires 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This guidance became effective for us beginning January 1, 2020. Based on the composition of our trade receivables, investment portfolio and other financial assets, current economic conditions and historical credit loss activity, the adoption of this standard did not have a material impact on our condensed consolidated financial statements and related disclosures.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adopted this ASU in 2019 with no cumulative-effect adjustments or retrospective impact.</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clarifies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 cloud computing arrangements. This standard became effective for us on January 1, 2020, and was adopted on a prospective basis with no material impact on our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$153.1 million as of March 31, 2020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incurred net losses since our inception. For the three months ended March 31, 2020, we had a net loss of $11.7 million and as of March 31, 2020, we had an accumulated deficit of $258.4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Prosigna test, and the development of additional tests. We may never achieve or sustain profitability, and our failure to achieve and sustain profitability in the future could cause the market price of our common stock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could have an adverse effect on our business, results of operations and financial condition.</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could contribute to a general slowdown in the global economy, adversely impact patients, physicians, customers, suppliers, third-party contract manufacturers, and collaboration partners, and disrupt our operations. Changes in our operations in response to COVID-19 or employee illnesses resulting from the pandemic may result in inefficiencies or delays, including in sales and product development efforts and additional costs related to business continuity initiatives, that cannot be fully mitigated through succession planning, employees working remotely or teleconferencing technologies. In addition, during the second half of March 2020 through the date of this filing, we experienced a significant decline in the volume of samples received resulting in a significant decline in revenue and it is currently unclear how long we will continue to experience decreased sample volumes and levels of revenue.</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225" w:lineRule="exact"/>
        <w:rPr>
          <w:sz w:val="20"/>
          <w:szCs w:val="20"/>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may not be able to manage our business effectively due to key employees becoming ill, working from home inefficiently and being unable to travel to our facilities.</w:t>
      </w:r>
    </w:p>
    <w:p>
      <w:pPr>
        <w:spacing w:after="0" w:line="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and our customers, suppliers, third-party contract manufacturers, and collaboration partners may be prevented from operating worksites, including manufacturing facilities, due to employee illness or reluctance to appear at work and “stay-at-home” regulations.</w:t>
      </w: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Interruptions in manufacturing (including the sourcing of reagents) and shipment of our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Reduced patient demand for, or provider capacity to deliver, diagnostic testing and elective procedures generally.</w:t>
      </w:r>
    </w:p>
    <w:p>
      <w:pPr>
        <w:spacing w:after="0" w:line="12"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Disruptions of the operations of our third-party contract manufacturers and suppliers, which could impact our ability to purchase components at efficient prices and in sufficient amounts.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may need to raise capital, and if we raise capital by issuing equity securities, our common stock may be diluted.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market price of our common stock may drop or remain volatile.</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 may incur significant employee health care costs under our insurance programs.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extent of the impact of COVID-19 on our business and financial results will depend largely on future developments, including the duration of the spread of the outbreak,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Most of our revenue to date has been derived from the sale of our Afirma tests, which are used in the diagnosis of thyroid cancer. Over the next few years, we expect to continue to derive a substantial portion of our revenue from sales of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6"/>
          <w:szCs w:val="16"/>
          <w:color w:val="auto"/>
        </w:rPr>
        <w:t>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In December 2019, we acquired the rights to the Prosigna test from NanoString Technologies, Inc. and commenced marketing and selling Prosigna test kits to U.S. and international customers.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Envisia and Prosigna tests, or develop and commercialize other solutions, our revenue and our ability to achieve and sustain profitability would be impaired, and the market price of our common stock could decline.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24% and 11%, respectively, of our revenue for the three months ended March 31, 2020, compared with 28% and 12%, respectively, for the three months ended March 31, 2019.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submitted the dossier of clinical evidence needed to obtain Medicare coverage for the Envisia Genomic Classifier through the MolDX technical assessment process in 2018, and received final Medicare coverage for the classifier in the first quarter of 2019, with an effective date of April 1, 2019.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LCD was issued for Prosigna by Palmetto GBA in August 2015, which has been in effect since October 1, 2015.</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 five-year rotational basis, Medicare requests bids for its regional MAC services. Any future changes in the MAC processing or coding for Medicare claims for the Afirma, Percepta or Envisia classifiers, or for Prosigna, could result in a change in the coverage or reimbursement rates for such products, or the loss of coverage, and could also result in increased difficulties in obtaining and maintaining coverage for future products.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Afirma will continue to be paid at $3,600 through that date. The volume-weighted median of private payer rates for final payments made from January through June 2019 (and now reported January through March 2021) will set the Medicare payment rate for the Afirma classifier from January 1, 2022 through December 31, 2024. There can be no assurance that the Afirma or Prosigna rates will not decrease during this or a subsequent reporting cycle under PAMA.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both"/>
        <w:ind w:firstLine="648"/>
        <w:spacing w:after="0" w:line="301" w:lineRule="auto"/>
        <w:rPr>
          <w:sz w:val="20"/>
          <w:szCs w:val="20"/>
          <w:color w:val="auto"/>
        </w:rPr>
      </w:pPr>
      <w:r>
        <w:rPr>
          <w:rFonts w:ascii="Arial" w:cs="Arial" w:eastAsia="Arial" w:hAnsi="Arial"/>
          <w:sz w:val="16"/>
          <w:szCs w:val="16"/>
          <w:color w:val="auto"/>
        </w:rPr>
        <w:t>We submit claims to Medicare for Percepta and Envisia using unlisted codes under the MolDX program. Specific CPT codes assigned to Percepta and Envisia may be required to go through the national payment determination process, and there can be no assurance that the Medicare payment rates the tests receive through this process will not be lower than their current rates. There can also be no assurance that the Medicare payment rates for the tests will not be reduced when they are set based on the volume-weighted medians of private payer rates when we are required to report those rates under PAMA.</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Moreover, federal Medicare funding and state budgets are limited and have been placed under tremendous strain in recent years, which is likely to be further exacerbated as a result in reduced tax receipts and greater deficit spending as a result of the COVID-19 pandemic. Such budgetary pressures may force Medicare or state agencies to reduce payment rates or change coverage policies. If there is a decrease in the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1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Percepta, and Envisia classifiers, Prosigna and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may continue to experience, a significant reduction in patient demand or physician recommendations, which has and may continue to adversely affect our business.</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Because our Afirma, Percepta and Envisia testing services are performed by our certified laboratory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9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Percepta and Envisia tests. We will be required to obtain approval for other tests we may offer in the future. If we were to lose our CLIA certificate or California license for our South San Francisco laboratory, whether as a result of revocation, suspension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1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If we are not successful in integrating the assets acquired from NanoString or if our general strategy of seeking growth through such acquisitions and collaborations is not successful, our prospects and financial condition will suffer.</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recently acquired assets, such as the nCounter FLEX Analysis System and Prosigna in December 2019, and we may pursue additional acquisitions of complementary businesses or assets as part of our business strategy. To date, we have limited experience with respect to acquisitions and the formation of strategic alliances and joint ventures. There can be no assurance that we will successfully integrate the assets acquired from NanoString successfully into our existing business, or that our exclusive worldwide license to the nCounter system for in vitro diagnostic use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finance any acquisitions or investments, we have previously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successful in advancing our collaborations with Johnson &amp; Johnson and others, or if our general strategy of seeking growth through such collaborations is not successful, our prospects and financial condition will suffer.</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previously entered into technology licensing and collaboration arrangements, such as our collaboration with Johnson &amp; Johnson in December 2018 and with Acerta Pharma, the hematology research and development arm of AstraZeneca, in December 2019, reflecting important elements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rely on sole suppliers for critical supply of reagents, equipment, chips and other materials that we use to perform our tests and for the manufacture of the nCounter FLEX Dx systems and Prosigna test kits sold to customers. We also purchase components used in our collection kits from sole-source suppliers. Some of these items are unique to these suppliers and vendors. In addition, we utilize a sole source to assemble and distribute our sample collection kits. We rely on NanoString for the supply of the nCounter FLEX Dx System and Prosigna test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Any such interruption may significantly affect our future revenue, cause us to incur higher costs, and harm our customer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chips and other materials in a timely manner or at all.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6" w:name="page47"/>
    <w:bookmarkEnd w:id="46"/>
    <w:p>
      <w:pPr>
        <w:jc w:val="both"/>
        <w:ind w:firstLine="648"/>
        <w:spacing w:after="0" w:line="259" w:lineRule="auto"/>
        <w:rPr>
          <w:sz w:val="20"/>
          <w:szCs w:val="20"/>
          <w:color w:val="auto"/>
        </w:rPr>
      </w:pPr>
      <w:r>
        <w:rPr>
          <w:rFonts w:ascii="Arial" w:cs="Arial" w:eastAsia="Arial" w:hAnsi="Arial"/>
          <w:sz w:val="18"/>
          <w:szCs w:val="18"/>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The volume-weighted median of the private payer rates between January 1 and June 30, 2019 will now set the Medicare payment rate for the Afirma classifier from January 1, 2022 through December 31, 2024. There can be no assurance that the payment rate for Afirma or Prosigna will not decrease in the future or that the payment rates for Percepta or Envisia will not be adversely affected by the PAMA law and regulations.</w:t>
      </w:r>
    </w:p>
    <w:p>
      <w:pPr>
        <w:jc w:val="both"/>
        <w:ind w:firstLine="648"/>
        <w:spacing w:after="0" w:line="252"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right="20" w:firstLine="648"/>
        <w:spacing w:after="0" w:line="277"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CY 2020 Hospital Outpatient Prospective Payment System Proposed Rule, CMS solicited comments on potential revisions to these billing rules that could have impacted our ability to bill Medicare directly for our Afirma, Percepta, and Envisia classifiers, as well as for Prosigna, when performed on specimens collected from hospital outpatients. Although these changes were not finalized, if CMS makes similar changes in the future, it could negatively impact our business.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must maintain CLIA compliance and certification to sell our tests and be eligible to bill for diagnostic services provided to Medicare beneficiaries.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those of our tests that are not currently regulated,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 In a December 2018 statement, the FDA said that there is a need for “a unified approach to the regulation of in vitro clinical tests to protect patient safety, support innovation, and keep pace with the rapidly evolving technology that’s helping us find new treatments for disease.” The FDA listed key principles of an approach it would support.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We cannot predict whether this draft bill will become legislation and cannot quantify the effect of this draft bill on our business.</w:t>
      </w:r>
    </w:p>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If the FDA were to require us to seek clearance or approval for our existing tests or any of our future products for clinical use, we may not be able to obtain such approvals on a timely basis, or at all. While we believe our Afirma, Percepta and Envisia classifiers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jc w:val="both"/>
        <w:ind w:firstLine="648"/>
        <w:spacing w:after="0" w:line="28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research-use 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marketing authorization by the FDA and foreign regulatory authorities for our diagnostic tests will take significant time and require significant research, development and clinical study expenditures and ultimately may not succeed.</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Before we begin to label and market some of our products for use as clinical diagnostics in the United States, unless an exemption applies, we are required to obtain clearance from FDA by submitting a premarket notification under section 510(k) of the FDC Act, or 510(k), or approval from FDA by submitting a PMA. We may also be able to obtain marketing authorization through a de novo classification process rather than through a PMA if the 510(k) pathway is not available. In September 2013, Prosigna obtained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2014, the FDA issued a final guidance document titled In Vitro Companion Diagnostic Devices. In the guidance, FDA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FDA stated that an IVD companion diagnostic should be submitted for review and approved or cleared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FDA expects that most companion diagnostics will be Class</w:t>
      </w:r>
    </w:p>
    <w:p>
      <w:pPr>
        <w:spacing w:after="0" w:line="2" w:lineRule="exact"/>
        <w:rPr>
          <w:sz w:val="20"/>
          <w:szCs w:val="20"/>
          <w:color w:val="auto"/>
        </w:rPr>
      </w:pPr>
    </w:p>
    <w:p>
      <w:pPr>
        <w:jc w:val="both"/>
        <w:ind w:firstLine="8"/>
        <w:spacing w:after="0" w:line="292" w:lineRule="auto"/>
        <w:tabs>
          <w:tab w:leader="none" w:pos="2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devices. Class III devices generally require the approval of a PMA before they can be marketed.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 There is no assurance that we would be able to obtain clearance or approval for any of our diagnostic devices in development as a companion diagnostic device.</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648"/>
        <w:spacing w:after="0" w:line="289" w:lineRule="auto"/>
        <w:rPr>
          <w:sz w:val="20"/>
          <w:szCs w:val="20"/>
          <w:color w:val="auto"/>
        </w:rPr>
      </w:pPr>
      <w:r>
        <w:rPr>
          <w:rFonts w:ascii="Arial" w:cs="Arial" w:eastAsia="Arial" w:hAnsi="Arial"/>
          <w:sz w:val="16"/>
          <w:szCs w:val="16"/>
          <w:color w:val="auto"/>
        </w:rPr>
        <w:t>Sales of our diagnostic products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outside the United States may differ from that required to obtain FDA marketing authorization, and we may not be able to obtain foreign regulatory approvals on a timely basis or at all. Marketing authorization from the FDA does not ensure approval by regulatory authorities in other countries, and approval by any foreign regulatory authority does not ensure marketing authorization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obtain marketing authorizations to market Prosigna in additional countries or if regulatory limitations are placed on our diagnostic kit products, our business and growth will be harmed.</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FDA cleared the Prosigna test for marketing in the United States; Prosigna also has a CE mark which permits us to market the test in the European Union; and Prosigna received marketing authorizations in selected other jurisdictions. We intend to seek regulatory authorizations for Prosigna in other jurisdictions and, potentially, for other indications.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pursuant to our collaborations with pharmaceutical companies for the development of companion diagnostic tests for use with their drugs, we are responsible for obtaining regulatory authorizations to use the companion diagnostic tests in clinical trials as well as the marketing authorizations to sell the companion diagnostic tests following completion of such trials. Some of the compensation we expect to receive pursuant to these collaborations is based on the receipt of marketing authorizations. Any failure to obtain marketing authorizations for our diagnostic kits in a particular jurisdiction may also reduce sales of our nCounter systems for clinical use in that jurisdiction, as the lack of a robust menu of available diagnostic tests would make those systems less attractive to testing laboratories.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cannot assure investors that we will be successful in obtaining regulatory clearances, approvals, or marketing authorizations. If we do not obtain regulatory clearances, approvals, or marketing authorizations for future kit products or expand future indications for diagnostic purposes, if additional regulatory limitations are placed on our kit products or if we fail to successfully commercialize such products, the market potential for our diagnostic kit products would be constrained, and our business and growth prospects would be adversely affected.</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ongoing and extensive regulatory requirements, and our failure to comply with these requirements could substantially harm our business.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Certain of our products are regulated as in vitro diagnostic medical devices, including Prosigna and the nCounter FLEX Analysis System. Accordingly, we and certain of our contract manufacturers are subject to ongoing International Organization for Standardization, or ISO, obligations as well as requirements under the FDC Act and device regulations enforced by the FDA and other statutory and regulatory requirements enforced by other government authorities. These may include routine inspections by Notified Bodies, FDA, and other health authorities, of our manufacturing facilities and our records for compliance with standards such as ISO 13485 and QSR regulations, which establish extensive requirements for quality assurance and control as well as manufacturing and change control procedures, among other things.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 Other regulatory bodies may also issue guidelines and regulations that could impact the development of our products, including companion diagnostic tests. For example, the European Medicines Agency, a European Union agency which is responsible for the scientific evaluation of medicines used in the European Union, recently launched an initiative to determine guidelines for the use of genomic biomarkers in the development and life-cycle of drugs. On April 5, 2017, the European Union Parliament passed Regulation (EU) 2017/746, referred to as the IVD Device Regulation, or IVDR, which increases the regulatory requirements applicable to in vitro diagnostics in the EU and would require that we re-classify and obtain approval, registration, or clearance for our existing CE-marked IVD products within a five-year grace period (by May 25, 2022).</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also be subject to additional FDA or global regulatory authority post-marketing obligations or requirements by the FDA or global regulatory authority to change our current product classifications which would impose additional regulatory obligations on us. The promotional claims we can make for Prosigna are limited to the indications for use in the United States as cleared by FDA or outside the United States as authorized by the applicable regulatory authority. If we are not able to maintain regulatory compliance, we may not be permitted to market our medical device products and/or may be subject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auto"/>
        </w:rPr>
        <w:t>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We believe our principal competitor in the breast cancer diagnostics market is Exact Sciences, Inc. (having combined with Genomic Health, Inc.), which currently commands a substantial majority of the market.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spacing w:after="0" w:line="342" w:lineRule="auto"/>
        <w:rPr>
          <w:sz w:val="20"/>
          <w:szCs w:val="20"/>
          <w:color w:val="auto"/>
        </w:rPr>
      </w:pPr>
      <w:r>
        <w:rPr>
          <w:rFonts w:ascii="Arial" w:cs="Arial" w:eastAsia="Arial" w:hAnsi="Arial"/>
          <w:sz w:val="16"/>
          <w:szCs w:val="16"/>
          <w:color w:val="auto"/>
        </w:rPr>
        <w:t>to develop our technologies and test processes and focus on our growth. If we were to lose one or more of these key employees, including due to illness resulting from COVID-19, we may experience difficulties in competing effectively, developing our technologies and implementing our business strategy.</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or acquire, such as Prosigna,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52" w:lineRule="exact"/>
        <w:rPr>
          <w:rFonts w:ascii="Arial" w:cs="Arial" w:eastAsia="Arial" w:hAnsi="Arial"/>
          <w:sz w:val="18"/>
          <w:szCs w:val="18"/>
          <w:color w:val="auto"/>
        </w:rPr>
      </w:pPr>
    </w:p>
    <w:p>
      <w:pPr>
        <w:ind w:left="980" w:hanging="324"/>
        <w:spacing w:after="0" w:line="277" w:lineRule="auto"/>
        <w:tabs>
          <w:tab w:leader="none" w:pos="10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payers, such as Medicare and Medicaid, including requirements to have an active CLIA certificate;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 and other government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648"/>
        <w:spacing w:after="0" w:line="289" w:lineRule="auto"/>
        <w:rPr>
          <w:sz w:val="20"/>
          <w:szCs w:val="20"/>
          <w:color w:val="auto"/>
        </w:rPr>
      </w:pPr>
      <w:r>
        <w:rPr>
          <w:rFonts w:ascii="Arial" w:cs="Arial" w:eastAsia="Arial" w:hAnsi="Arial"/>
          <w:sz w:val="16"/>
          <w:szCs w:val="16"/>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5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revenues and cash flow.</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ind w:firstLine="648"/>
        <w:spacing w:after="0" w:line="276" w:lineRule="auto"/>
        <w:rPr>
          <w:sz w:val="20"/>
          <w:szCs w:val="20"/>
          <w:color w:val="auto"/>
        </w:rPr>
      </w:pPr>
      <w:r>
        <w:rPr>
          <w:rFonts w:ascii="Arial" w:cs="Arial" w:eastAsia="Arial" w:hAnsi="Arial"/>
          <w:sz w:val="16"/>
          <w:szCs w:val="16"/>
          <w:color w:val="auto"/>
        </w:rPr>
        <w:t>We acquired several international sales employees from NanoString, and expect to build upon this team as we offer additional tests internationally in the future. If our internal sales force is not successful, however,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outbreak.</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5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5" w:lineRule="auto"/>
        <w:tabs>
          <w:tab w:leader="none" w:pos="9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10"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92"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10"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19" w:lineRule="exact"/>
        <w:rPr>
          <w:sz w:val="20"/>
          <w:szCs w:val="20"/>
          <w:color w:val="auto"/>
        </w:rPr>
      </w:pPr>
    </w:p>
    <w:p>
      <w:pPr>
        <w:ind w:hanging="8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4" w:lineRule="exact"/>
        <w:rPr>
          <w:sz w:val="20"/>
          <w:szCs w:val="20"/>
          <w:color w:val="auto"/>
        </w:rPr>
      </w:pPr>
    </w:p>
    <w:p>
      <w:pPr>
        <w:ind w:left="980" w:right="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right="100"/>
        <w:spacing w:after="0" w:line="277" w:lineRule="auto"/>
        <w:rPr>
          <w:sz w:val="20"/>
          <w:szCs w:val="20"/>
          <w:color w:val="auto"/>
        </w:rPr>
      </w:pPr>
      <w:r>
        <w:rPr>
          <w:rFonts w:ascii="Arial" w:cs="Arial" w:eastAsia="Arial" w:hAnsi="Arial"/>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established distribution agreements for our nCounter FLEX Analysis System and related consumable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Envisia and Prosigna tests, as well as tests we may develop or acquire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21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 of disruptions caused by pandemics, political events, war, terrorism, earthquakes, fire, power outages, floods, and other catastrophic events.</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War, terrorism, geopolitical uncertainties, trade restrictions, public health issues, natural disasters and other catastrophic events may cause damage or disruption to the economy and commerce on a global, regional or country-specific basis, and could disrupt supply or delivery of, or demand for, our products. For example, the recent COVID-19 outbreak, could have a negative effect on consumer confidence and spending, and other impacts, which could adversely affect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77"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 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other patient and physician education and outreach efforts through our website, manage the administrative aspects of our business and damage our reputation, any of which could adversely affect our business.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went into effect on January 1, 2020. The CCPA, among other things, requires covered companies to provide disclosures to California consumers concerning the collection and sale of personal information, and gives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2029 and 2035 and are related to methods used in thyroid diagnostics, lung diagnostics, breast cancer diagnostics, and the nCounter FLEX analysis platform.</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biotechnology field that may affect the patentability of certain inventions or discoveries, including opinions that may affect the patentability of methods for analyzing or comparing nucleic acids.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color w:val="auto"/>
        </w:rPr>
        <w:t>hearings, motions or other interim proceedings or developments. If securities analysts or investors perceive these results to be negative, it could have a substantial adverse effect on the price of our common stock.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incurred net losses since our inception and may never achieve profitability. As of December 31, 2019, we had net operating loss, or NOL, carryforwards of approximately $236.9 million, $58.3 million and $45.2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March 27, 2020, the Coronavirus Aid, Relief, and Economic Security Act, or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consolidated financial statements during the period in which any impairment of our goodwill or intangible assets is determined, that would negatively affect our operating results.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condensed consolidated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now required to include an attestation report from our independent registered public accounting firm on the effectiveness of our internal control over financial reporting annually.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global macroeconomic impact of the current COVID-19 outbreak;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5" w:name="page66"/>
    <w:bookmarkEnd w:id="65"/>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63"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24" w:lineRule="exact"/>
        <w:rPr>
          <w:rFonts w:ascii="Arial" w:cs="Arial" w:eastAsia="Arial" w:hAnsi="Arial"/>
          <w:sz w:val="18"/>
          <w:szCs w:val="18"/>
          <w:color w:val="auto"/>
        </w:rPr>
      </w:pPr>
    </w:p>
    <w:p>
      <w:pPr>
        <w:ind w:left="980" w:hanging="324"/>
        <w:spacing w:after="0" w:line="232" w:lineRule="auto"/>
        <w:tabs>
          <w:tab w:leader="none" w:pos="975" w:val="left"/>
        </w:tabs>
        <w:numPr>
          <w:ilvl w:val="0"/>
          <w:numId w:val="20"/>
        </w:numPr>
        <w:rPr>
          <w:rFonts w:ascii="Arial" w:cs="Arial" w:eastAsia="Arial" w:hAnsi="Arial"/>
          <w:sz w:val="22"/>
          <w:szCs w:val="22"/>
          <w:color w:val="auto"/>
        </w:rPr>
      </w:pPr>
      <w:r>
        <w:rPr>
          <w:rFonts w:ascii="Arial" w:cs="Arial" w:eastAsia="Arial" w:hAnsi="Arial"/>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216" w:lineRule="exact"/>
        <w:rPr>
          <w:rFonts w:ascii="Arial" w:cs="Arial" w:eastAsia="Arial" w:hAnsi="Arial"/>
          <w:sz w:val="22"/>
          <w:szCs w:val="22"/>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28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500" w:type="dxa"/>
            <w:vAlign w:val="bottom"/>
            <w:gridSpan w:val="3"/>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80" w:type="dxa"/>
            <w:vAlign w:val="bottom"/>
            <w:tcBorders>
              <w:top w:val="single" w:sz="8" w:color="auto"/>
            </w:tcBorders>
          </w:tcPr>
          <w:p>
            <w:pPr>
              <w:jc w:val="right"/>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3.1</w:t>
              </w:r>
            </w:hyperlink>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00" w:type="dxa"/>
            <w:vAlign w:val="bottom"/>
            <w:tcBorders>
              <w:top w:val="single" w:sz="8" w:color="auto"/>
            </w:tcBorders>
            <w:gridSpan w:val="5"/>
          </w:tcPr>
          <w:p>
            <w:pPr>
              <w:spacing w:after="0"/>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Amended and Restated Bylaws of the Registrant</w:t>
              </w:r>
            </w:hyperlink>
          </w:p>
        </w:tc>
        <w:tc>
          <w:tcPr>
            <w:tcW w:w="0" w:type="dxa"/>
            <w:vAlign w:val="bottom"/>
          </w:tcPr>
          <w:p>
            <w:pPr>
              <w:spacing w:after="0"/>
              <w:rPr>
                <w:sz w:val="1"/>
                <w:szCs w:val="1"/>
                <w:color w:val="auto"/>
              </w:rPr>
            </w:pPr>
          </w:p>
        </w:tc>
      </w:tr>
      <w:tr>
        <w:trPr>
          <w:trHeight w:val="190"/>
        </w:trPr>
        <w:tc>
          <w:tcPr>
            <w:tcW w:w="1280" w:type="dxa"/>
            <w:vAlign w:val="bottom"/>
          </w:tcPr>
          <w:p>
            <w:pPr>
              <w:jc w:val="right"/>
              <w:spacing w:after="0" w:line="190" w:lineRule="exact"/>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31.1*</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0" w:type="dxa"/>
            <w:vAlign w:val="bottom"/>
            <w:gridSpan w:val="5"/>
          </w:tcPr>
          <w:p>
            <w:pPr>
              <w:spacing w:after="0" w:line="190" w:lineRule="exact"/>
              <w:rPr>
                <w:rFonts w:ascii="Arial" w:cs="Arial" w:eastAsia="Arial" w:hAnsi="Arial"/>
                <w:sz w:val="18"/>
                <w:szCs w:val="18"/>
                <w:color w:val="0000FF"/>
                <w:w w:val="92"/>
              </w:rPr>
            </w:pPr>
            <w:hyperlink w:anchor="page69">
              <w:r>
                <w:rPr>
                  <w:rFonts w:ascii="Arial" w:cs="Arial" w:eastAsia="Arial" w:hAnsi="Arial"/>
                  <w:sz w:val="18"/>
                  <w:szCs w:val="18"/>
                  <w:color w:val="0000FF"/>
                  <w:w w:val="92"/>
                </w:rPr>
                <w:t>Certification of Principal Executive Officer pursuant to Rules 13a-14(a) and 15d-14(a), as adopted pursuant to Section 302</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of the Sarbanes-Oxley Act of 2002</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31.2*</w:t>
              </w:r>
            </w:hyperlink>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gridSpan w:val="5"/>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Principal Financial Officer pursuant to Rule 13a-14(a)/15d-14(a), as adopted pursuant to Section 302 of the</w:t>
              </w:r>
            </w:hyperlink>
          </w:p>
        </w:tc>
        <w:tc>
          <w:tcPr>
            <w:tcW w:w="0" w:type="dxa"/>
            <w:vAlign w:val="bottom"/>
          </w:tcPr>
          <w:p>
            <w:pPr>
              <w:spacing w:after="0"/>
              <w:rPr>
                <w:sz w:val="1"/>
                <w:szCs w:val="1"/>
                <w:color w:val="auto"/>
              </w:rPr>
            </w:pPr>
          </w:p>
        </w:tc>
      </w:tr>
      <w:tr>
        <w:trPr>
          <w:trHeight w:val="156"/>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Sarbanes-Oxley Act of 2002</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28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32.1**</w:t>
              </w:r>
            </w:hyperlink>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0" w:type="dxa"/>
            <w:vAlign w:val="bottom"/>
            <w:gridSpan w:val="5"/>
          </w:tcPr>
          <w:p>
            <w:pPr>
              <w:spacing w:after="0"/>
              <w:rPr>
                <w:rFonts w:ascii="Arial" w:cs="Arial" w:eastAsia="Arial" w:hAnsi="Arial"/>
                <w:sz w:val="18"/>
                <w:szCs w:val="18"/>
                <w:u w:val="single" w:color="auto"/>
                <w:color w:val="0000FF"/>
                <w:w w:val="93"/>
              </w:rPr>
            </w:pPr>
            <w:hyperlink w:anchor="page71">
              <w:r>
                <w:rPr>
                  <w:rFonts w:ascii="Arial" w:cs="Arial" w:eastAsia="Arial" w:hAnsi="Arial"/>
                  <w:sz w:val="18"/>
                  <w:szCs w:val="18"/>
                  <w:u w:val="single" w:color="auto"/>
                  <w:color w:val="0000FF"/>
                  <w:w w:val="93"/>
                </w:rPr>
                <w:t>Certification of Principal Executive Officer pursuant to 18 U.S.C. § 1350 (Section 906 of the Sarbanes-Oxley Act of 2002)</w:t>
              </w:r>
            </w:hyperlink>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32.2**</w:t>
              </w:r>
            </w:hyperlink>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5"/>
          </w:tcPr>
          <w:p>
            <w:pPr>
              <w:spacing w:after="0"/>
              <w:rPr>
                <w:rFonts w:ascii="Arial" w:cs="Arial" w:eastAsia="Arial" w:hAnsi="Arial"/>
                <w:sz w:val="18"/>
                <w:szCs w:val="18"/>
                <w:u w:val="single" w:color="auto"/>
                <w:color w:val="0000FF"/>
                <w:w w:val="94"/>
              </w:rPr>
            </w:pPr>
            <w:hyperlink w:anchor="page72">
              <w:r>
                <w:rPr>
                  <w:rFonts w:ascii="Arial" w:cs="Arial" w:eastAsia="Arial" w:hAnsi="Arial"/>
                  <w:sz w:val="18"/>
                  <w:szCs w:val="18"/>
                  <w:u w:val="single" w:color="auto"/>
                  <w:color w:val="0000FF"/>
                  <w:w w:val="94"/>
                </w:rPr>
                <w:t>Certification of Principal Financial Officer pursuant to 18 U.S.C. § 1350 (Section 906 of the Sarbanes-Oxley Act of 2002)</w:t>
              </w:r>
            </w:hyperlink>
          </w:p>
        </w:tc>
        <w:tc>
          <w:tcPr>
            <w:tcW w:w="0" w:type="dxa"/>
            <w:vAlign w:val="bottom"/>
          </w:tcPr>
          <w:p>
            <w:pPr>
              <w:spacing w:after="0"/>
              <w:rPr>
                <w:sz w:val="1"/>
                <w:szCs w:val="1"/>
                <w:color w:val="auto"/>
              </w:rPr>
            </w:pPr>
          </w:p>
        </w:tc>
      </w:tr>
      <w:tr>
        <w:trPr>
          <w:trHeight w:val="229"/>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are embedded within the Inline XBRL</w:t>
            </w:r>
          </w:p>
        </w:tc>
        <w:tc>
          <w:tcPr>
            <w:tcW w:w="0" w:type="dxa"/>
            <w:vAlign w:val="bottom"/>
          </w:tcPr>
          <w:p>
            <w:pPr>
              <w:spacing w:after="0"/>
              <w:rPr>
                <w:sz w:val="1"/>
                <w:szCs w:val="1"/>
                <w:color w:val="auto"/>
              </w:rPr>
            </w:pPr>
          </w:p>
        </w:tc>
      </w:tr>
      <w:tr>
        <w:trPr>
          <w:trHeight w:val="270"/>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70"/>
        </w:trPr>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188595</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0" w:lineRule="exact"/>
        <w:rPr>
          <w:sz w:val="20"/>
          <w:szCs w:val="20"/>
          <w:color w:val="auto"/>
        </w:rPr>
      </w:pPr>
    </w:p>
    <w:p>
      <w:pPr>
        <w:ind w:left="440"/>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Filed herewith.</w:t>
      </w:r>
    </w:p>
    <w:p>
      <w:pPr>
        <w:spacing w:after="0" w:line="77" w:lineRule="exact"/>
        <w:rPr>
          <w:sz w:val="20"/>
          <w:szCs w:val="20"/>
          <w:color w:val="auto"/>
        </w:rPr>
      </w:pPr>
    </w:p>
    <w:p>
      <w:pPr>
        <w:jc w:val="both"/>
        <w:ind w:left="1840" w:right="20" w:hanging="1409"/>
        <w:spacing w:after="0" w:line="279"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891" w:right="7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5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3171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Mark Ho</w:t>
      </w:r>
    </w:p>
    <w:p>
      <w:pPr>
        <w:ind w:left="62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2020;</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00" w:firstLine="656"/>
        <w:spacing w:after="0" w:line="308" w:lineRule="auto"/>
        <w:tabs>
          <w:tab w:leader="none" w:pos="1327"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0" w:firstLine="656"/>
        <w:spacing w:after="0" w:line="291" w:lineRule="auto"/>
        <w:tabs>
          <w:tab w:leader="none" w:pos="13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160" w:firstLine="644"/>
        <w:spacing w:after="0" w:line="286" w:lineRule="auto"/>
        <w:tabs>
          <w:tab w:leader="none" w:pos="1979"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180" w:firstLine="644"/>
        <w:spacing w:after="0" w:line="263" w:lineRule="auto"/>
        <w:tabs>
          <w:tab w:leader="none" w:pos="19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40" w:firstLine="644"/>
        <w:spacing w:after="0" w:line="342" w:lineRule="auto"/>
        <w:tabs>
          <w:tab w:leader="none" w:pos="19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600" w:firstLine="644"/>
        <w:spacing w:after="0" w:line="263" w:lineRule="auto"/>
        <w:tabs>
          <w:tab w:leader="none" w:pos="19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40" w:firstLine="656"/>
        <w:spacing w:after="0" w:line="342" w:lineRule="auto"/>
        <w:tabs>
          <w:tab w:leader="none" w:pos="132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 w:firstLine="644"/>
        <w:spacing w:after="0" w:line="308" w:lineRule="auto"/>
        <w:tabs>
          <w:tab w:leader="none" w:pos="1979"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60" w:firstLine="644"/>
        <w:spacing w:after="0" w:line="277" w:lineRule="auto"/>
        <w:tabs>
          <w:tab w:leader="none" w:pos="198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6, 2020</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522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March 31, 2020;</w:t>
      </w:r>
    </w:p>
    <w:p>
      <w:pPr>
        <w:spacing w:after="0" w:line="225" w:lineRule="exact"/>
        <w:rPr>
          <w:rFonts w:ascii="Arial" w:cs="Arial" w:eastAsia="Arial" w:hAnsi="Arial"/>
          <w:sz w:val="18"/>
          <w:szCs w:val="18"/>
          <w:color w:val="auto"/>
        </w:rPr>
      </w:pPr>
    </w:p>
    <w:p>
      <w:pPr>
        <w:jc w:val="both"/>
        <w:ind w:right="80" w:firstLine="656"/>
        <w:spacing w:after="0" w:line="263" w:lineRule="auto"/>
        <w:tabs>
          <w:tab w:leader="none" w:pos="13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300" w:firstLine="656"/>
        <w:spacing w:after="0" w:line="308" w:lineRule="auto"/>
        <w:tabs>
          <w:tab w:leader="none" w:pos="1327"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0" w:firstLine="656"/>
        <w:spacing w:after="0" w:line="291" w:lineRule="auto"/>
        <w:tabs>
          <w:tab w:leader="none" w:pos="13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660" w:right="160" w:firstLine="644"/>
        <w:spacing w:after="0" w:line="286" w:lineRule="auto"/>
        <w:tabs>
          <w:tab w:leader="none" w:pos="1979"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660" w:right="180" w:firstLine="644"/>
        <w:spacing w:after="0" w:line="263" w:lineRule="auto"/>
        <w:tabs>
          <w:tab w:leader="none" w:pos="19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140" w:firstLine="644"/>
        <w:spacing w:after="0" w:line="342" w:lineRule="auto"/>
        <w:tabs>
          <w:tab w:leader="none" w:pos="19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600" w:firstLine="644"/>
        <w:spacing w:after="0" w:line="263" w:lineRule="auto"/>
        <w:tabs>
          <w:tab w:leader="none" w:pos="19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340" w:firstLine="656"/>
        <w:spacing w:after="0" w:line="342" w:lineRule="auto"/>
        <w:tabs>
          <w:tab w:leader="none" w:pos="13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40" w:firstLine="644"/>
        <w:spacing w:after="0" w:line="308" w:lineRule="auto"/>
        <w:tabs>
          <w:tab w:leader="none" w:pos="1979"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60" w:firstLine="644"/>
        <w:spacing w:after="0" w:line="277" w:lineRule="auto"/>
        <w:tabs>
          <w:tab w:leader="none" w:pos="198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6, 2020</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5229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5" w:lineRule="exact"/>
        <w:rPr>
          <w:sz w:val="20"/>
          <w:szCs w:val="20"/>
          <w:color w:val="auto"/>
        </w:rPr>
      </w:pPr>
    </w:p>
    <w:p>
      <w:pPr>
        <w:ind w:left="2000" w:hanging="696"/>
        <w:spacing w:after="0"/>
        <w:tabs>
          <w:tab w:leader="none" w:pos="2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65"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Date:</w:t>
        <w:tab/>
        <w:t>May 6, 2020</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31750</wp:posOffset>
            </wp:positionV>
            <wp:extent cx="3522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2020,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5" w:lineRule="exact"/>
        <w:rPr>
          <w:sz w:val="20"/>
          <w:szCs w:val="20"/>
          <w:color w:val="auto"/>
        </w:rPr>
      </w:pPr>
    </w:p>
    <w:p>
      <w:pPr>
        <w:ind w:left="2000" w:hanging="696"/>
        <w:spacing w:after="0"/>
        <w:tabs>
          <w:tab w:leader="none" w:pos="2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2000" w:hanging="696"/>
        <w:spacing w:after="0"/>
        <w:tabs>
          <w:tab w:leader="none" w:pos="2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265"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6, 2020</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31750</wp:posOffset>
            </wp:positionV>
            <wp:extent cx="3522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6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upperLetter"/>
      <w:start w:val="6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upperLetter"/>
      <w:start w:val="6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77" Type="http://schemas.openxmlformats.org/officeDocument/2006/relationships/hyperlink" Target="https://www.sec.gov/Archives/edgar/data/1384101/000138410120000046/vcyt-8xk3x13x20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2020-05-06T15:32:16Z</dcterms:created>
  <dcterms:modified xsi:type="dcterms:W3CDTF">2020-05-06T15:32:16Z</dcterms:modified>
</cp:coreProperties>
</file>